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7CC5C" w14:textId="742D473E" w:rsidR="006211FD" w:rsidRPr="006211FD" w:rsidRDefault="00D8759B" w:rsidP="00D8759B">
      <w:pPr>
        <w:pStyle w:val="Title"/>
        <w:tabs>
          <w:tab w:val="center" w:pos="4680"/>
        </w:tabs>
        <w:jc w:val="both"/>
        <w:rPr>
          <w:rFonts w:asciiTheme="minorHAnsi" w:hAnsiTheme="minorHAnsi" w:cstheme="minorHAnsi"/>
          <w:i w:val="0"/>
          <w:sz w:val="24"/>
          <w:szCs w:val="24"/>
        </w:rPr>
      </w:pPr>
      <w:r w:rsidRPr="006211FD">
        <w:rPr>
          <w:rFonts w:asciiTheme="minorHAnsi" w:hAnsiTheme="minorHAnsi" w:cstheme="minorHAnsi"/>
          <w:i w:val="0"/>
          <w:sz w:val="24"/>
          <w:szCs w:val="24"/>
          <w:u w:val="none"/>
        </w:rPr>
        <w:t xml:space="preserve">Revision Date: </w:t>
      </w:r>
      <w:r w:rsidR="00055B51">
        <w:rPr>
          <w:rFonts w:asciiTheme="minorHAnsi" w:hAnsiTheme="minorHAnsi" w:cstheme="minorHAnsi"/>
          <w:i w:val="0"/>
          <w:sz w:val="24"/>
          <w:szCs w:val="24"/>
        </w:rPr>
        <w:t>February 9</w:t>
      </w:r>
      <w:r w:rsidR="00055B51" w:rsidRPr="00055B51">
        <w:rPr>
          <w:rFonts w:asciiTheme="minorHAnsi" w:hAnsiTheme="minorHAnsi" w:cstheme="minorHAnsi"/>
          <w:i w:val="0"/>
          <w:sz w:val="24"/>
          <w:szCs w:val="24"/>
          <w:vertAlign w:val="superscript"/>
        </w:rPr>
        <w:t>th</w:t>
      </w:r>
      <w:r w:rsidR="00055B51">
        <w:rPr>
          <w:rFonts w:asciiTheme="minorHAnsi" w:hAnsiTheme="minorHAnsi" w:cstheme="minorHAnsi"/>
          <w:i w:val="0"/>
          <w:sz w:val="24"/>
          <w:szCs w:val="24"/>
        </w:rPr>
        <w:t>, 2021</w:t>
      </w:r>
      <w:r w:rsidR="00675506">
        <w:rPr>
          <w:rFonts w:asciiTheme="minorHAnsi" w:hAnsiTheme="minorHAnsi" w:cstheme="minorHAnsi"/>
          <w:i w:val="0"/>
          <w:sz w:val="24"/>
          <w:szCs w:val="24"/>
        </w:rPr>
        <w:t>.</w:t>
      </w:r>
    </w:p>
    <w:p w14:paraId="23679EAB" w14:textId="0CF50DAE" w:rsidR="00D8759B" w:rsidRDefault="00D8759B" w:rsidP="00D8759B">
      <w:pPr>
        <w:rPr>
          <w:rFonts w:asciiTheme="minorHAnsi" w:hAnsiTheme="minorHAnsi" w:cstheme="minorHAnsi"/>
          <w:i/>
          <w:sz w:val="24"/>
          <w:szCs w:val="24"/>
        </w:rPr>
      </w:pPr>
      <w:r w:rsidRPr="006211FD">
        <w:rPr>
          <w:rFonts w:asciiTheme="minorHAnsi" w:hAnsiTheme="minorHAnsi" w:cstheme="minorHAnsi"/>
          <w:i/>
          <w:sz w:val="24"/>
          <w:szCs w:val="24"/>
        </w:rPr>
        <w:t>The SOP must be read completely and followed by laboratory staff doing analysis.</w:t>
      </w:r>
    </w:p>
    <w:p w14:paraId="301A83F5" w14:textId="38266927" w:rsidR="002F5030" w:rsidRDefault="002F5030" w:rsidP="00D8759B">
      <w:pPr>
        <w:rPr>
          <w:rFonts w:asciiTheme="minorHAnsi" w:hAnsiTheme="minorHAnsi" w:cstheme="minorHAnsi"/>
          <w:i/>
          <w:sz w:val="24"/>
          <w:szCs w:val="24"/>
        </w:rPr>
      </w:pPr>
    </w:p>
    <w:p w14:paraId="349CDB9E" w14:textId="0EC27366" w:rsidR="004E2074" w:rsidRPr="004E2074" w:rsidRDefault="004E2074" w:rsidP="00D8759B">
      <w:pPr>
        <w:rPr>
          <w:rFonts w:asciiTheme="minorHAnsi" w:hAnsiTheme="minorHAnsi" w:cstheme="minorHAnsi"/>
          <w:i/>
          <w:color w:val="FF0000"/>
          <w:sz w:val="24"/>
          <w:szCs w:val="24"/>
        </w:rPr>
      </w:pPr>
      <w:r>
        <w:rPr>
          <w:rFonts w:asciiTheme="minorHAnsi" w:hAnsiTheme="minorHAnsi" w:cstheme="minorHAnsi"/>
          <w:i/>
          <w:color w:val="FF0000"/>
          <w:sz w:val="24"/>
          <w:szCs w:val="24"/>
        </w:rPr>
        <w:t>****</w:t>
      </w:r>
      <w:r w:rsidRPr="004E2074">
        <w:rPr>
          <w:rFonts w:asciiTheme="minorHAnsi" w:hAnsiTheme="minorHAnsi" w:cstheme="minorHAnsi"/>
          <w:i/>
          <w:color w:val="FF0000"/>
          <w:sz w:val="24"/>
          <w:szCs w:val="24"/>
        </w:rPr>
        <w:t>If you are using this as a template, add in your specific lab name AND date AND any steps that are different.</w:t>
      </w:r>
      <w:r>
        <w:rPr>
          <w:rFonts w:asciiTheme="minorHAnsi" w:hAnsiTheme="minorHAnsi" w:cstheme="minorHAnsi"/>
          <w:i/>
          <w:color w:val="FF0000"/>
          <w:sz w:val="24"/>
          <w:szCs w:val="24"/>
        </w:rPr>
        <w:t>**** This is only a resource, your procedure may be different than the one Medford is using.</w:t>
      </w:r>
    </w:p>
    <w:p w14:paraId="593ED744" w14:textId="77777777" w:rsidR="00D8759B" w:rsidRPr="006211FD" w:rsidRDefault="00D8759B" w:rsidP="00390DF8">
      <w:pPr>
        <w:pStyle w:val="Title"/>
        <w:rPr>
          <w:rFonts w:asciiTheme="minorHAnsi" w:hAnsiTheme="minorHAnsi" w:cstheme="minorHAnsi"/>
          <w:b w:val="0"/>
          <w:i w:val="0"/>
          <w:sz w:val="24"/>
          <w:szCs w:val="24"/>
          <w:u w:val="none"/>
        </w:rPr>
      </w:pPr>
    </w:p>
    <w:p w14:paraId="346F3368" w14:textId="3C7E830A" w:rsidR="00325DC6" w:rsidRPr="00325DC6" w:rsidRDefault="00325DC6" w:rsidP="00325DC6">
      <w:pPr>
        <w:pStyle w:val="BodyTextIndent"/>
        <w:numPr>
          <w:ilvl w:val="0"/>
          <w:numId w:val="7"/>
        </w:numPr>
        <w:rPr>
          <w:rFonts w:asciiTheme="minorHAnsi" w:hAnsiTheme="minorHAnsi" w:cstheme="minorHAnsi"/>
          <w:b/>
          <w:szCs w:val="24"/>
        </w:rPr>
      </w:pPr>
      <w:r>
        <w:rPr>
          <w:rFonts w:asciiTheme="minorHAnsi" w:hAnsiTheme="minorHAnsi" w:cstheme="minorHAnsi"/>
          <w:b/>
          <w:szCs w:val="24"/>
        </w:rPr>
        <w:t>Summary</w:t>
      </w:r>
    </w:p>
    <w:p w14:paraId="3709E814" w14:textId="1D3D7D0C" w:rsidR="00325DC6" w:rsidRPr="002F5030" w:rsidRDefault="00CD25F7" w:rsidP="00CD25F7">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Colilert*-18 either simultaneously detects total coliforms and </w:t>
      </w:r>
      <w:r w:rsidRPr="005145DD">
        <w:rPr>
          <w:rFonts w:asciiTheme="minorHAnsi" w:hAnsiTheme="minorHAnsi" w:cstheme="minorHAnsi"/>
          <w:i/>
          <w:iCs/>
          <w:szCs w:val="24"/>
        </w:rPr>
        <w:t>E. coli</w:t>
      </w:r>
      <w:r w:rsidRPr="002F5030">
        <w:rPr>
          <w:rFonts w:asciiTheme="minorHAnsi" w:hAnsiTheme="minorHAnsi" w:cstheme="minorHAnsi"/>
          <w:szCs w:val="24"/>
        </w:rPr>
        <w:t xml:space="preserve">; or fecal coliforms in water. It is based on IDEXX’s proprietary Defined Substrate Technology*. When total or fecal coliforms metabolize Colilert-18’s DST* nutrient-indicator, ONPG, the sample turns yellow. When </w:t>
      </w:r>
      <w:r w:rsidRPr="002F5030">
        <w:rPr>
          <w:rFonts w:asciiTheme="minorHAnsi" w:hAnsiTheme="minorHAnsi" w:cstheme="minorHAnsi"/>
          <w:i/>
          <w:iCs/>
          <w:szCs w:val="24"/>
        </w:rPr>
        <w:t xml:space="preserve">E. coli </w:t>
      </w:r>
      <w:r w:rsidRPr="002F5030">
        <w:rPr>
          <w:rFonts w:asciiTheme="minorHAnsi" w:hAnsiTheme="minorHAnsi" w:cstheme="minorHAnsi"/>
          <w:szCs w:val="24"/>
        </w:rPr>
        <w:t xml:space="preserve">metabolize Colilert-18’s DST* nutrient-indicator, MUG, the sample also fluoresces under a 6 watt, 365nm UV light after incubation at 35 ± 0.5°C </w:t>
      </w:r>
      <w:r w:rsidR="00671D96" w:rsidRPr="002F5030">
        <w:rPr>
          <w:rFonts w:asciiTheme="minorHAnsi" w:hAnsiTheme="minorHAnsi" w:cstheme="minorHAnsi"/>
          <w:szCs w:val="24"/>
        </w:rPr>
        <w:t>for</w:t>
      </w:r>
      <w:r w:rsidRPr="002F5030">
        <w:rPr>
          <w:rFonts w:asciiTheme="minorHAnsi" w:hAnsiTheme="minorHAnsi" w:cstheme="minorHAnsi"/>
          <w:szCs w:val="24"/>
        </w:rPr>
        <w:t xml:space="preserve"> 18 hours and up to 22 hours.</w:t>
      </w:r>
      <w:r w:rsidR="00671D96" w:rsidRPr="002F5030">
        <w:rPr>
          <w:rFonts w:asciiTheme="minorHAnsi" w:hAnsiTheme="minorHAnsi" w:cstheme="minorHAnsi"/>
          <w:szCs w:val="24"/>
        </w:rPr>
        <w:t xml:space="preserve"> </w:t>
      </w:r>
      <w:r w:rsidRPr="002F5030">
        <w:rPr>
          <w:rFonts w:asciiTheme="minorHAnsi" w:hAnsiTheme="minorHAnsi" w:cstheme="minorHAnsi"/>
          <w:szCs w:val="24"/>
        </w:rPr>
        <w:t xml:space="preserve">Colilert-18 can simultaneously detect these bacteria at 1 cfu/100 mL even with as many as 2 million heterotrophic bacteria per 100 mL present. </w:t>
      </w:r>
    </w:p>
    <w:p w14:paraId="51A389BB" w14:textId="4A733124" w:rsidR="006211FD"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Colilert-18 is in Standard Methods for the Examination Water and Wastewater, On-line and in the 20th, 21st &amp; 22nd edition AWWA, APHA, WEF, 9223B </w:t>
      </w:r>
    </w:p>
    <w:p w14:paraId="09E7A29A" w14:textId="77777777" w:rsidR="006211FD" w:rsidRPr="002F5030" w:rsidRDefault="006211FD" w:rsidP="006211FD">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Scope and Application</w:t>
      </w:r>
    </w:p>
    <w:p w14:paraId="681DBE0A" w14:textId="31E137A4" w:rsidR="00325DC6"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The Colilert-18 method can be applied to fresh waters, drinking waters, ground waters, reuse waters, wastewaters and marine waters. It can be used as a Presence/Absence test or quantification with the Quanti-Tray® system</w:t>
      </w:r>
      <w:r w:rsidR="00C2002B" w:rsidRPr="002F5030">
        <w:rPr>
          <w:rFonts w:asciiTheme="minorHAnsi" w:hAnsiTheme="minorHAnsi" w:cstheme="minorHAnsi"/>
          <w:szCs w:val="24"/>
        </w:rPr>
        <w:t>.</w:t>
      </w:r>
    </w:p>
    <w:p w14:paraId="37FB0D97" w14:textId="41E0C968" w:rsidR="006211FD" w:rsidRPr="002F5030" w:rsidRDefault="00325DC6" w:rsidP="00671D9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Since there can be wide range of coliform levels in surface waters and wastewaters, dilutions can be used with this method for detecting and enumerating the actual level. </w:t>
      </w:r>
    </w:p>
    <w:p w14:paraId="354518B9" w14:textId="77777777" w:rsidR="006211FD" w:rsidRPr="002F5030" w:rsidRDefault="006211FD" w:rsidP="006211FD">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Interferences</w:t>
      </w:r>
    </w:p>
    <w:p w14:paraId="20C160A6" w14:textId="77777777" w:rsidR="00325DC6" w:rsidRPr="002F5030" w:rsidRDefault="00325DC6" w:rsidP="00325DC6">
      <w:pPr>
        <w:pStyle w:val="ListParagraph"/>
        <w:numPr>
          <w:ilvl w:val="1"/>
          <w:numId w:val="7"/>
        </w:numPr>
        <w:rPr>
          <w:rFonts w:asciiTheme="minorHAnsi" w:hAnsiTheme="minorHAnsi" w:cstheme="minorHAnsi"/>
          <w:sz w:val="24"/>
          <w:szCs w:val="24"/>
        </w:rPr>
      </w:pPr>
      <w:r w:rsidRPr="002F5030">
        <w:rPr>
          <w:rFonts w:asciiTheme="minorHAnsi" w:hAnsiTheme="minorHAnsi" w:cstheme="minorHAnsi"/>
          <w:sz w:val="24"/>
          <w:szCs w:val="24"/>
        </w:rPr>
        <w:t xml:space="preserve">Some samples containing humic material may have an innate color and a control blank of the same water sample may be required for comparison to the inoculated sample or a dilution may be made. </w:t>
      </w:r>
    </w:p>
    <w:p w14:paraId="2D3A5EE5" w14:textId="6AA07060" w:rsidR="00E90367" w:rsidRPr="002F5030" w:rsidRDefault="00325DC6" w:rsidP="00671D96">
      <w:pPr>
        <w:pStyle w:val="ListParagraph"/>
        <w:numPr>
          <w:ilvl w:val="1"/>
          <w:numId w:val="7"/>
        </w:numPr>
        <w:rPr>
          <w:rFonts w:asciiTheme="minorHAnsi" w:hAnsiTheme="minorHAnsi" w:cstheme="minorHAnsi"/>
          <w:sz w:val="24"/>
          <w:szCs w:val="24"/>
        </w:rPr>
      </w:pPr>
      <w:r w:rsidRPr="002F5030">
        <w:rPr>
          <w:rFonts w:asciiTheme="minorHAnsi" w:hAnsiTheme="minorHAnsi" w:cstheme="minorHAnsi"/>
          <w:sz w:val="24"/>
          <w:szCs w:val="24"/>
        </w:rPr>
        <w:t xml:space="preserve">Heterotrophic bacteria greater than 2,000,000/100mL could yield a positive coliform reaction for coliforms.  </w:t>
      </w:r>
    </w:p>
    <w:p w14:paraId="6F4D5FA7" w14:textId="77777777" w:rsidR="006211FD" w:rsidRPr="002F5030" w:rsidRDefault="006211FD" w:rsidP="006211FD">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Equipment and Supplies</w:t>
      </w:r>
    </w:p>
    <w:p w14:paraId="25E881B3" w14:textId="5085AB2E" w:rsidR="00325DC6"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Sterile vessels, glass or plastic (free from fluorescence) with or without sodium thiosulfate.  Any water containing an oxidizing agent such as chlorine must be neutralized with sodium thiosulfate.   </w:t>
      </w:r>
    </w:p>
    <w:p w14:paraId="044BEDF2" w14:textId="2170C8FE" w:rsidR="00325DC6"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Vessels containing sodium thiosulfate must neutralize up to </w:t>
      </w:r>
      <w:r w:rsidR="00C2002B" w:rsidRPr="002F5030">
        <w:rPr>
          <w:rFonts w:asciiTheme="minorHAnsi" w:hAnsiTheme="minorHAnsi" w:cstheme="minorHAnsi"/>
          <w:szCs w:val="24"/>
        </w:rPr>
        <w:t>1</w:t>
      </w:r>
      <w:r w:rsidRPr="002F5030">
        <w:rPr>
          <w:rFonts w:asciiTheme="minorHAnsi" w:hAnsiTheme="minorHAnsi" w:cstheme="minorHAnsi"/>
          <w:szCs w:val="24"/>
        </w:rPr>
        <w:t xml:space="preserve">5 mg/L of chlorine for </w:t>
      </w:r>
      <w:r w:rsidR="00B32074" w:rsidRPr="002F5030">
        <w:rPr>
          <w:rFonts w:asciiTheme="minorHAnsi" w:hAnsiTheme="minorHAnsi" w:cstheme="minorHAnsi"/>
          <w:szCs w:val="24"/>
        </w:rPr>
        <w:t>wastewater</w:t>
      </w:r>
      <w:r w:rsidRPr="002F5030">
        <w:rPr>
          <w:rFonts w:asciiTheme="minorHAnsi" w:hAnsiTheme="minorHAnsi" w:cstheme="minorHAnsi"/>
          <w:szCs w:val="24"/>
        </w:rPr>
        <w:t xml:space="preserve"> effluent</w:t>
      </w:r>
      <w:r w:rsidR="00C2002B" w:rsidRPr="002F5030">
        <w:rPr>
          <w:rFonts w:asciiTheme="minorHAnsi" w:hAnsiTheme="minorHAnsi" w:cstheme="minorHAnsi"/>
          <w:szCs w:val="24"/>
        </w:rPr>
        <w:t xml:space="preserve"> samples</w:t>
      </w:r>
      <w:r w:rsidRPr="002F5030">
        <w:rPr>
          <w:rFonts w:asciiTheme="minorHAnsi" w:hAnsiTheme="minorHAnsi" w:cstheme="minorHAnsi"/>
          <w:szCs w:val="24"/>
        </w:rPr>
        <w:t xml:space="preserve">. </w:t>
      </w:r>
    </w:p>
    <w:p w14:paraId="03C63FBE" w14:textId="59DFF9D4" w:rsidR="00325DC6"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Vessels must be at least 120 mL or of larger capacity to hold 100 mL sample to allow for proper mixing of sample. </w:t>
      </w:r>
    </w:p>
    <w:p w14:paraId="298838E5" w14:textId="77777777" w:rsidR="00B32074"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51 well Quanti-Tray or Quanti-Tray/2000</w:t>
      </w:r>
    </w:p>
    <w:p w14:paraId="68ECFD00" w14:textId="1AF64D71" w:rsidR="00325DC6"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Quanti-Tray Sealer </w:t>
      </w:r>
    </w:p>
    <w:p w14:paraId="517AA23F" w14:textId="77777777" w:rsidR="00B32074" w:rsidRPr="002F5030" w:rsidRDefault="00325DC6"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Incubator maintained at 35 ± 0.5°C. </w:t>
      </w:r>
    </w:p>
    <w:p w14:paraId="6994EA74" w14:textId="699E51C4" w:rsidR="006211FD" w:rsidRPr="002F5030" w:rsidRDefault="00B32074" w:rsidP="00325DC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6-Watt</w:t>
      </w:r>
      <w:r w:rsidR="00325DC6" w:rsidRPr="002F5030">
        <w:rPr>
          <w:rFonts w:asciiTheme="minorHAnsi" w:hAnsiTheme="minorHAnsi" w:cstheme="minorHAnsi"/>
          <w:szCs w:val="24"/>
        </w:rPr>
        <w:t xml:space="preserve"> 365nm UV light.</w:t>
      </w:r>
    </w:p>
    <w:p w14:paraId="4D420AB8" w14:textId="79A20038" w:rsidR="002F5030" w:rsidRDefault="002F5030" w:rsidP="002F5030">
      <w:pPr>
        <w:pStyle w:val="BodyTextIndent"/>
        <w:ind w:left="360" w:firstLine="0"/>
        <w:rPr>
          <w:rFonts w:asciiTheme="minorHAnsi" w:hAnsiTheme="minorHAnsi" w:cstheme="minorHAnsi"/>
          <w:b/>
          <w:szCs w:val="24"/>
        </w:rPr>
      </w:pPr>
    </w:p>
    <w:p w14:paraId="56EF5A34" w14:textId="37647274" w:rsidR="002F5030" w:rsidRDefault="002F5030" w:rsidP="002F5030">
      <w:pPr>
        <w:pStyle w:val="BodyTextIndent"/>
        <w:ind w:left="360" w:firstLine="0"/>
        <w:rPr>
          <w:rFonts w:asciiTheme="minorHAnsi" w:hAnsiTheme="minorHAnsi" w:cstheme="minorHAnsi"/>
          <w:b/>
          <w:szCs w:val="24"/>
        </w:rPr>
      </w:pPr>
    </w:p>
    <w:p w14:paraId="2387A5C2" w14:textId="25EEC03F" w:rsidR="002F5030" w:rsidRDefault="002F5030" w:rsidP="002F5030">
      <w:pPr>
        <w:pStyle w:val="BodyTextIndent"/>
        <w:ind w:left="360" w:firstLine="0"/>
        <w:rPr>
          <w:rFonts w:asciiTheme="minorHAnsi" w:hAnsiTheme="minorHAnsi" w:cstheme="minorHAnsi"/>
          <w:b/>
          <w:szCs w:val="24"/>
        </w:rPr>
      </w:pPr>
    </w:p>
    <w:p w14:paraId="5351F046" w14:textId="097BA0E6" w:rsidR="002F5030" w:rsidRDefault="002F5030" w:rsidP="002F5030">
      <w:pPr>
        <w:pStyle w:val="BodyTextIndent"/>
        <w:ind w:left="360" w:firstLine="0"/>
        <w:rPr>
          <w:rFonts w:asciiTheme="minorHAnsi" w:hAnsiTheme="minorHAnsi" w:cstheme="minorHAnsi"/>
          <w:b/>
          <w:szCs w:val="24"/>
        </w:rPr>
      </w:pPr>
    </w:p>
    <w:p w14:paraId="2916ED4C" w14:textId="6F9A3939" w:rsidR="002F5030" w:rsidRDefault="002F5030" w:rsidP="005145DD">
      <w:pPr>
        <w:pStyle w:val="BodyTextIndent"/>
        <w:ind w:left="0" w:firstLine="0"/>
        <w:rPr>
          <w:rFonts w:asciiTheme="minorHAnsi" w:hAnsiTheme="minorHAnsi" w:cstheme="minorHAnsi"/>
          <w:b/>
          <w:szCs w:val="24"/>
        </w:rPr>
      </w:pPr>
    </w:p>
    <w:p w14:paraId="364194C5" w14:textId="77777777" w:rsidR="002F5030" w:rsidRDefault="002F5030" w:rsidP="002F5030">
      <w:pPr>
        <w:pStyle w:val="BodyTextIndent"/>
        <w:ind w:left="360" w:firstLine="0"/>
        <w:rPr>
          <w:rFonts w:asciiTheme="minorHAnsi" w:hAnsiTheme="minorHAnsi" w:cstheme="minorHAnsi"/>
          <w:b/>
          <w:szCs w:val="24"/>
        </w:rPr>
      </w:pPr>
    </w:p>
    <w:p w14:paraId="10F3610D" w14:textId="5717F5EB" w:rsidR="006211FD" w:rsidRPr="002F5030" w:rsidRDefault="006211FD" w:rsidP="006211FD">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Reagents and Standards</w:t>
      </w:r>
    </w:p>
    <w:p w14:paraId="6D20D428" w14:textId="0302C6F8" w:rsidR="00055B51" w:rsidRPr="002F5030" w:rsidRDefault="00055B51" w:rsidP="00055B51">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Sterile, non-buffered, oxidant-free water for dilutions. </w:t>
      </w:r>
    </w:p>
    <w:p w14:paraId="59D9FA5F" w14:textId="41DBBE1F" w:rsidR="00055B51" w:rsidRPr="002F5030" w:rsidRDefault="00055B51" w:rsidP="00055B51">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51 Well Quanti-Tray or Quanti-Tray 2000 Comparator. </w:t>
      </w:r>
    </w:p>
    <w:p w14:paraId="7984EF82" w14:textId="7FD24C9D" w:rsidR="00055B51" w:rsidRPr="002F5030" w:rsidRDefault="00055B51" w:rsidP="00055B51">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Antifoam reagent (optional). </w:t>
      </w:r>
    </w:p>
    <w:p w14:paraId="28B0B042" w14:textId="0E5087DF" w:rsidR="00055B51" w:rsidRPr="002F5030" w:rsidRDefault="003A2A60" w:rsidP="00055B51">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S</w:t>
      </w:r>
      <w:r w:rsidR="00055B51" w:rsidRPr="002F5030">
        <w:rPr>
          <w:rFonts w:asciiTheme="minorHAnsi" w:hAnsiTheme="minorHAnsi" w:cstheme="minorHAnsi"/>
          <w:szCs w:val="24"/>
        </w:rPr>
        <w:t xml:space="preserve">terile vessels </w:t>
      </w:r>
      <w:r w:rsidRPr="002F5030">
        <w:rPr>
          <w:rFonts w:asciiTheme="minorHAnsi" w:hAnsiTheme="minorHAnsi" w:cstheme="minorHAnsi"/>
          <w:szCs w:val="24"/>
        </w:rPr>
        <w:t xml:space="preserve">or sterile vessels </w:t>
      </w:r>
      <w:r w:rsidR="00055B51" w:rsidRPr="002F5030">
        <w:rPr>
          <w:rFonts w:asciiTheme="minorHAnsi" w:hAnsiTheme="minorHAnsi" w:cstheme="minorHAnsi"/>
          <w:szCs w:val="24"/>
        </w:rPr>
        <w:t xml:space="preserve">containing sodium thiosulfate to neutralize up to 15mg/L chlorine. </w:t>
      </w:r>
    </w:p>
    <w:p w14:paraId="3FCA5F0D" w14:textId="2CC1DC7F" w:rsidR="006211FD" w:rsidRPr="002F5030" w:rsidRDefault="00055B51" w:rsidP="00055B51">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Store Colilert-18 at 2-25°C away from light.  The expiration date is indicated on the package (15 months from the date of manufacture).</w:t>
      </w:r>
    </w:p>
    <w:p w14:paraId="51AD5568" w14:textId="77777777" w:rsidR="006211FD" w:rsidRPr="002F5030" w:rsidRDefault="006211FD" w:rsidP="0046735C">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Sample Collection, Preservation, and Storage</w:t>
      </w:r>
    </w:p>
    <w:p w14:paraId="7161915F" w14:textId="032551E9" w:rsidR="00055B51" w:rsidRPr="002F5030" w:rsidRDefault="00055B51" w:rsidP="006211FD">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Sampling procedures as described in detail in the Standard Methods for the Examination of Water and Wastewater.</w:t>
      </w:r>
    </w:p>
    <w:p w14:paraId="119C5992" w14:textId="53230D1C" w:rsidR="00055B51" w:rsidRPr="002F5030" w:rsidRDefault="00055B51" w:rsidP="006211FD">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 xml:space="preserve">Storage Temperature and Handling Conditions:  Ice or refrigerate bacteriological samples at a temperature less than 10°C (2-10°C) during transit to the laboratory.  Use insulated containers to assure proper maintenance of storage temperature.  Ensure that sample vessels are not totally immersed in water during transit.  Do not allow samples to freeze.  If frozen, sample cannot be </w:t>
      </w:r>
      <w:r w:rsidR="00181A40" w:rsidRPr="002F5030">
        <w:rPr>
          <w:rFonts w:asciiTheme="minorHAnsi" w:hAnsiTheme="minorHAnsi" w:cstheme="minorHAnsi"/>
          <w:szCs w:val="24"/>
        </w:rPr>
        <w:t>thawed,</w:t>
      </w:r>
      <w:r w:rsidRPr="002F5030">
        <w:rPr>
          <w:rFonts w:asciiTheme="minorHAnsi" w:hAnsiTheme="minorHAnsi" w:cstheme="minorHAnsi"/>
          <w:szCs w:val="24"/>
        </w:rPr>
        <w:t xml:space="preserve"> and a new sample is required.</w:t>
      </w:r>
    </w:p>
    <w:p w14:paraId="4AF855CA" w14:textId="3364ECC3" w:rsidR="006211FD" w:rsidRPr="002F5030" w:rsidRDefault="00055B51" w:rsidP="00181A40">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For</w:t>
      </w:r>
      <w:r w:rsidR="0007450D" w:rsidRPr="002F5030">
        <w:rPr>
          <w:rFonts w:asciiTheme="minorHAnsi" w:hAnsiTheme="minorHAnsi" w:cstheme="minorHAnsi"/>
          <w:szCs w:val="24"/>
        </w:rPr>
        <w:t xml:space="preserve"> wastewater</w:t>
      </w:r>
      <w:r w:rsidRPr="002F5030">
        <w:rPr>
          <w:rFonts w:asciiTheme="minorHAnsi" w:hAnsiTheme="minorHAnsi" w:cstheme="minorHAnsi"/>
          <w:szCs w:val="24"/>
        </w:rPr>
        <w:t xml:space="preserve"> for compliance, do not exceed 8 hours from time of collection to incubation. </w:t>
      </w:r>
      <w:r w:rsidR="006211FD" w:rsidRPr="002F5030">
        <w:rPr>
          <w:rFonts w:asciiTheme="minorHAnsi" w:hAnsiTheme="minorHAnsi" w:cstheme="minorHAnsi"/>
          <w:szCs w:val="24"/>
        </w:rPr>
        <w:t>Collect samples in designated clean plastic bottles.</w:t>
      </w:r>
    </w:p>
    <w:p w14:paraId="60BE4F99" w14:textId="2FA124F8" w:rsidR="00E90367" w:rsidRPr="002F5030" w:rsidRDefault="006211FD" w:rsidP="00E90367">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Quality Control</w:t>
      </w:r>
    </w:p>
    <w:p w14:paraId="305F92C3" w14:textId="1B6B33E0" w:rsidR="00E90367" w:rsidRPr="002F5030" w:rsidRDefault="00E90367" w:rsidP="00E90367">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Check the temperature of the incubator at least twice per day (when in use) separated by at least 4 hours to insure it is within the stated limits. Record the date, temperature, time of reading and initial. </w:t>
      </w:r>
    </w:p>
    <w:p w14:paraId="1DC52D17" w14:textId="31800752" w:rsidR="00E90367" w:rsidRPr="002F5030" w:rsidRDefault="00E90367" w:rsidP="00E90367">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Check thermometers at least annually against NIST certified thermometer.</w:t>
      </w:r>
    </w:p>
    <w:p w14:paraId="1A5050FF" w14:textId="67240703" w:rsidR="00B32074" w:rsidRPr="002F5030" w:rsidRDefault="00181F30" w:rsidP="00B32074">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Quality control should be conducted on each lot of Colilert-18 </w:t>
      </w:r>
      <w:r w:rsidR="0071158A" w:rsidRPr="002F5030">
        <w:rPr>
          <w:rFonts w:asciiTheme="minorHAnsi" w:hAnsiTheme="minorHAnsi" w:cstheme="minorHAnsi"/>
          <w:bCs/>
          <w:szCs w:val="24"/>
        </w:rPr>
        <w:t>initially</w:t>
      </w:r>
      <w:r w:rsidRPr="002F5030">
        <w:rPr>
          <w:rFonts w:asciiTheme="minorHAnsi" w:hAnsiTheme="minorHAnsi" w:cstheme="minorHAnsi"/>
          <w:bCs/>
          <w:szCs w:val="24"/>
        </w:rPr>
        <w:t xml:space="preserve"> </w:t>
      </w:r>
      <w:r w:rsidR="0071158A" w:rsidRPr="002F5030">
        <w:rPr>
          <w:rFonts w:asciiTheme="minorHAnsi" w:hAnsiTheme="minorHAnsi" w:cstheme="minorHAnsi"/>
          <w:bCs/>
          <w:szCs w:val="24"/>
        </w:rPr>
        <w:t>and furthermore a 90 day recheck.</w:t>
      </w:r>
      <w:r w:rsidRPr="002F5030">
        <w:rPr>
          <w:rFonts w:asciiTheme="minorHAnsi" w:hAnsiTheme="minorHAnsi" w:cstheme="minorHAnsi"/>
          <w:bCs/>
          <w:szCs w:val="24"/>
        </w:rPr>
        <w:t xml:space="preserve"> </w:t>
      </w:r>
      <w:r w:rsidR="0007450D" w:rsidRPr="002F5030">
        <w:rPr>
          <w:rFonts w:asciiTheme="minorHAnsi" w:hAnsiTheme="minorHAnsi" w:cstheme="minorHAnsi"/>
          <w:bCs/>
          <w:szCs w:val="24"/>
        </w:rPr>
        <w:t>T</w:t>
      </w:r>
      <w:r w:rsidRPr="002F5030">
        <w:rPr>
          <w:rFonts w:asciiTheme="minorHAnsi" w:hAnsiTheme="minorHAnsi" w:cstheme="minorHAnsi"/>
          <w:bCs/>
          <w:szCs w:val="24"/>
        </w:rPr>
        <w:t>he following quality control procedure is recommended</w:t>
      </w:r>
      <w:r w:rsidR="00C2002B" w:rsidRPr="002F5030">
        <w:rPr>
          <w:rFonts w:asciiTheme="minorHAnsi" w:hAnsiTheme="minorHAnsi" w:cstheme="minorHAnsi"/>
          <w:bCs/>
          <w:szCs w:val="24"/>
        </w:rPr>
        <w:t xml:space="preserve"> (but not required)</w:t>
      </w:r>
      <w:r w:rsidRPr="002F5030">
        <w:rPr>
          <w:rFonts w:asciiTheme="minorHAnsi" w:hAnsiTheme="minorHAnsi" w:cstheme="minorHAnsi"/>
          <w:bCs/>
          <w:szCs w:val="24"/>
        </w:rPr>
        <w:t xml:space="preserve"> for each lot of Colilert-18 when used for total coliform and </w:t>
      </w:r>
      <w:r w:rsidR="0007450D" w:rsidRPr="002F5030">
        <w:rPr>
          <w:rFonts w:asciiTheme="minorHAnsi" w:hAnsiTheme="minorHAnsi" w:cstheme="minorHAnsi"/>
          <w:bCs/>
          <w:i/>
          <w:iCs/>
          <w:szCs w:val="24"/>
        </w:rPr>
        <w:t>E. coli</w:t>
      </w:r>
      <w:r w:rsidRPr="002F5030">
        <w:rPr>
          <w:rFonts w:asciiTheme="minorHAnsi" w:hAnsiTheme="minorHAnsi" w:cstheme="minorHAnsi"/>
          <w:bCs/>
          <w:szCs w:val="24"/>
        </w:rPr>
        <w:t xml:space="preserve"> testing:  IDEXX-QC Coliform and </w:t>
      </w:r>
      <w:r w:rsidRPr="002F5030">
        <w:rPr>
          <w:rFonts w:asciiTheme="minorHAnsi" w:hAnsiTheme="minorHAnsi" w:cstheme="minorHAnsi"/>
          <w:bCs/>
          <w:i/>
          <w:iCs/>
          <w:szCs w:val="24"/>
        </w:rPr>
        <w:t>E. coli</w:t>
      </w:r>
      <w:r w:rsidRPr="002F5030">
        <w:rPr>
          <w:rFonts w:asciiTheme="minorHAnsi" w:hAnsiTheme="minorHAnsi" w:cstheme="minorHAnsi"/>
          <w:bCs/>
          <w:szCs w:val="24"/>
        </w:rPr>
        <w:t xml:space="preserve">: Consists of 3 each of </w:t>
      </w:r>
      <w:r w:rsidRPr="002F5030">
        <w:rPr>
          <w:rFonts w:asciiTheme="minorHAnsi" w:hAnsiTheme="minorHAnsi" w:cstheme="minorHAnsi"/>
          <w:bCs/>
          <w:i/>
          <w:iCs/>
          <w:szCs w:val="24"/>
        </w:rPr>
        <w:t>Escherichia coli</w:t>
      </w:r>
      <w:r w:rsidRPr="002F5030">
        <w:rPr>
          <w:rFonts w:asciiTheme="minorHAnsi" w:hAnsiTheme="minorHAnsi" w:cstheme="minorHAnsi"/>
          <w:bCs/>
          <w:szCs w:val="24"/>
        </w:rPr>
        <w:t xml:space="preserve">, </w:t>
      </w:r>
      <w:r w:rsidRPr="002F5030">
        <w:rPr>
          <w:rFonts w:asciiTheme="minorHAnsi" w:hAnsiTheme="minorHAnsi" w:cstheme="minorHAnsi"/>
          <w:bCs/>
          <w:i/>
          <w:iCs/>
          <w:szCs w:val="24"/>
        </w:rPr>
        <w:t>Klebsiella pneumoniae</w:t>
      </w:r>
      <w:r w:rsidRPr="002F5030">
        <w:rPr>
          <w:rFonts w:asciiTheme="minorHAnsi" w:hAnsiTheme="minorHAnsi" w:cstheme="minorHAnsi"/>
          <w:bCs/>
          <w:szCs w:val="24"/>
        </w:rPr>
        <w:t xml:space="preserve">, and </w:t>
      </w:r>
      <w:r w:rsidRPr="002F5030">
        <w:rPr>
          <w:rFonts w:asciiTheme="minorHAnsi" w:hAnsiTheme="minorHAnsi" w:cstheme="minorHAnsi"/>
          <w:bCs/>
          <w:i/>
          <w:iCs/>
          <w:szCs w:val="24"/>
        </w:rPr>
        <w:t xml:space="preserve">Pseudomonas </w:t>
      </w:r>
      <w:r w:rsidR="00361615" w:rsidRPr="002F5030">
        <w:rPr>
          <w:rFonts w:asciiTheme="minorHAnsi" w:hAnsiTheme="minorHAnsi" w:cstheme="minorHAnsi"/>
          <w:bCs/>
          <w:i/>
          <w:iCs/>
          <w:szCs w:val="24"/>
        </w:rPr>
        <w:t>aeruginosa</w:t>
      </w:r>
      <w:r w:rsidR="00361615" w:rsidRPr="002F5030">
        <w:rPr>
          <w:rFonts w:asciiTheme="minorHAnsi" w:hAnsiTheme="minorHAnsi" w:cstheme="minorHAnsi"/>
          <w:bCs/>
          <w:szCs w:val="24"/>
        </w:rPr>
        <w:t>.</w:t>
      </w:r>
      <w:r w:rsidRPr="002F5030">
        <w:rPr>
          <w:rFonts w:asciiTheme="minorHAnsi" w:hAnsiTheme="minorHAnsi" w:cstheme="minorHAnsi"/>
          <w:bCs/>
          <w:szCs w:val="24"/>
        </w:rPr>
        <w:t xml:space="preserve">  </w:t>
      </w:r>
    </w:p>
    <w:p w14:paraId="3A16E1A6" w14:textId="65FA1BFB" w:rsidR="00B32074" w:rsidRPr="002F5030" w:rsidRDefault="00181F30" w:rsidP="00B32074">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See the package insert for instructions. </w:t>
      </w:r>
    </w:p>
    <w:p w14:paraId="33E0237F" w14:textId="6C2DFCF1" w:rsidR="0007450D" w:rsidRPr="002F5030" w:rsidRDefault="0007450D" w:rsidP="00B32074">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Follow the Quanti-Tray Enumeration Procedure below</w:t>
      </w:r>
    </w:p>
    <w:p w14:paraId="7A784006" w14:textId="723B399E" w:rsidR="00181F30" w:rsidRPr="005145DD" w:rsidRDefault="00C2002B" w:rsidP="005145D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 xml:space="preserve">Alternatively, certificates of analysis, MSDS and other resources can be gathered specific to the LOT# at </w:t>
      </w:r>
      <w:r w:rsidRPr="002F5030">
        <w:rPr>
          <w:rFonts w:asciiTheme="minorHAnsi" w:hAnsiTheme="minorHAnsi" w:cstheme="minorHAnsi"/>
          <w:szCs w:val="24"/>
          <w:u w:val="single"/>
        </w:rPr>
        <w:t>www.idexx.com/en/water/</w:t>
      </w:r>
    </w:p>
    <w:p w14:paraId="7763FE14" w14:textId="564CDD36" w:rsidR="00E90367" w:rsidRPr="002F5030" w:rsidRDefault="00E90367" w:rsidP="00E90367">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Quanti-Tray Sealer</w:t>
      </w:r>
      <w:r w:rsidR="006211FD" w:rsidRPr="002F5030">
        <w:rPr>
          <w:rFonts w:asciiTheme="minorHAnsi" w:hAnsiTheme="minorHAnsi" w:cstheme="minorHAnsi"/>
          <w:b/>
          <w:szCs w:val="24"/>
        </w:rPr>
        <w:t xml:space="preserve"> Procedure</w:t>
      </w:r>
    </w:p>
    <w:p w14:paraId="62187C14" w14:textId="7070E880" w:rsidR="00E90367" w:rsidRPr="002F5030" w:rsidRDefault="00E90367"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 xml:space="preserve">Use one hand to hold a Quanti-Tray upright with the well side facing the palm. </w:t>
      </w:r>
    </w:p>
    <w:p w14:paraId="69B96CDA" w14:textId="27FBBA90" w:rsidR="00E90367" w:rsidRPr="002F5030" w:rsidRDefault="00E90367"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Squeeze the upper part of the Quanti-Tray so that the Quanti-Tray bends toward the palm.</w:t>
      </w:r>
    </w:p>
    <w:p w14:paraId="3DBD41D9" w14:textId="77777777" w:rsidR="00E90367" w:rsidRPr="002F5030" w:rsidRDefault="00E90367" w:rsidP="00E90367">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Open the Quanti-Tray by pulling the foil tab away from the well side. Avoid touching the inside of the foil or tray.</w:t>
      </w:r>
    </w:p>
    <w:p w14:paraId="66D1D6AC" w14:textId="4461FF95" w:rsidR="00E90367" w:rsidRPr="002F5030" w:rsidRDefault="00E90367"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Pour the reagent/sample mixture directly into the Quanti-Tray, avoiding contact with the foil tab. Allow foam to settle (or use IDEXX Anti-Foam solution)</w:t>
      </w:r>
    </w:p>
    <w:p w14:paraId="08ADEDA2" w14:textId="5A554622" w:rsidR="00E90367" w:rsidRPr="002F5030" w:rsidRDefault="00E90367"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lastRenderedPageBreak/>
        <w:t>Place the sample-filled Quanti-Tray onto the rubber tray carrier of the Quanti-Tray Sealer with the well side (plastic) of the Quanti-Tray facing down to fit into the carrier</w:t>
      </w:r>
    </w:p>
    <w:p w14:paraId="7E26E676" w14:textId="43B3708A" w:rsidR="00E90367" w:rsidRPr="002F5030" w:rsidRDefault="00E90367"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 xml:space="preserve">Seal according to the Quanti-Tray Sealer instructions. </w:t>
      </w:r>
    </w:p>
    <w:p w14:paraId="7FA5ED82" w14:textId="458905C4" w:rsidR="006211FD" w:rsidRPr="002F5030" w:rsidRDefault="00E90367" w:rsidP="00671D96">
      <w:pPr>
        <w:pStyle w:val="BodyTextIndent"/>
        <w:numPr>
          <w:ilvl w:val="1"/>
          <w:numId w:val="7"/>
        </w:numPr>
        <w:rPr>
          <w:rFonts w:asciiTheme="minorHAnsi" w:hAnsiTheme="minorHAnsi" w:cstheme="minorHAnsi"/>
          <w:szCs w:val="24"/>
        </w:rPr>
      </w:pPr>
      <w:r w:rsidRPr="002F5030">
        <w:rPr>
          <w:rFonts w:asciiTheme="minorHAnsi" w:hAnsiTheme="minorHAnsi" w:cstheme="minorHAnsi"/>
          <w:szCs w:val="24"/>
        </w:rPr>
        <w:t>Incubate according to reagent instructions.</w:t>
      </w:r>
    </w:p>
    <w:p w14:paraId="1B958D77" w14:textId="585AFE6B" w:rsidR="006211FD" w:rsidRPr="002F5030" w:rsidRDefault="006211FD" w:rsidP="006211FD">
      <w:pPr>
        <w:pStyle w:val="BodyTextIndent"/>
        <w:numPr>
          <w:ilvl w:val="0"/>
          <w:numId w:val="7"/>
        </w:numPr>
        <w:rPr>
          <w:rFonts w:asciiTheme="minorHAnsi" w:hAnsiTheme="minorHAnsi" w:cstheme="minorHAnsi"/>
          <w:b/>
          <w:szCs w:val="24"/>
        </w:rPr>
      </w:pPr>
      <w:r w:rsidRPr="002F5030">
        <w:rPr>
          <w:rFonts w:asciiTheme="minorHAnsi" w:hAnsiTheme="minorHAnsi" w:cstheme="minorHAnsi"/>
          <w:b/>
          <w:szCs w:val="24"/>
        </w:rPr>
        <w:t>Sample Analysis Procedure</w:t>
      </w:r>
    </w:p>
    <w:p w14:paraId="1D70DAE4" w14:textId="77777777"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Carefully separate one blister pack from the strip taking care not to accidentally open the adjacent pack. </w:t>
      </w:r>
    </w:p>
    <w:p w14:paraId="14E920E5" w14:textId="77777777"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Ensure the powder is in the bottom of the blister pack. </w:t>
      </w:r>
    </w:p>
    <w:p w14:paraId="7765DABC" w14:textId="77777777"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Hold the blister pack face down (paper side up) at the top and towards the bottom and snap back at the score line forming a “V”, with the opening facing into the open vessel.   </w:t>
      </w:r>
    </w:p>
    <w:p w14:paraId="048CCF4B" w14:textId="77777777"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Allow the powder to fall into the water sample contained in the sterile, nonfluorescent vessel. </w:t>
      </w:r>
    </w:p>
    <w:p w14:paraId="4DF3C09C" w14:textId="77777777"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Aseptically cap and seal the vessel. </w:t>
      </w:r>
    </w:p>
    <w:p w14:paraId="390C3D4E" w14:textId="4553D0A1"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Mix well until dissolved. </w:t>
      </w:r>
    </w:p>
    <w:p w14:paraId="00E787FF" w14:textId="410E20EB" w:rsidR="005A5F7D" w:rsidRPr="002F5030" w:rsidRDefault="005A5F7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 xml:space="preserve">Pour sample/reagent mixture into a Quanti-Tray or Quanti-Tray/2000 and seal in an IDEXX Quanti-Tray Sealer. </w:t>
      </w:r>
    </w:p>
    <w:p w14:paraId="3B77793F" w14:textId="14ADEBCA" w:rsidR="005A5F7D" w:rsidRPr="002F5030" w:rsidRDefault="005A5F7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Place the sealed tray in a 35±0.5°C (or 44.5±0.2°C for fecal coliforms) incubator (prewarming to 35°C is not required).</w:t>
      </w:r>
    </w:p>
    <w:p w14:paraId="1FA5249B" w14:textId="7DFCA626" w:rsidR="00B2260D" w:rsidRPr="002F5030" w:rsidRDefault="00B2260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Incubate for 18 and up to 22 hours at 35 ± 0.5°C. </w:t>
      </w:r>
    </w:p>
    <w:p w14:paraId="30858EE5" w14:textId="77777777" w:rsidR="00146A41" w:rsidRPr="002F5030" w:rsidRDefault="005A5F7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 xml:space="preserve">For incubation in a water bath, submerge the Quanti-Tray, as is, below the water level using a weighted ring. </w:t>
      </w:r>
    </w:p>
    <w:p w14:paraId="25034C58" w14:textId="1321B88B" w:rsidR="005145DD" w:rsidRPr="005145DD" w:rsidRDefault="005A5F7D" w:rsidP="005145D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 xml:space="preserve">Read results according to the Result Interpretation table below. </w:t>
      </w:r>
    </w:p>
    <w:p w14:paraId="465807C4" w14:textId="77777777" w:rsidR="002F5030" w:rsidRPr="002F5030" w:rsidRDefault="002F5030" w:rsidP="002F5030">
      <w:pPr>
        <w:pStyle w:val="10SOP"/>
        <w:numPr>
          <w:ilvl w:val="0"/>
          <w:numId w:val="7"/>
        </w:numPr>
        <w:rPr>
          <w:rFonts w:asciiTheme="minorHAnsi" w:hAnsiTheme="minorHAnsi" w:cstheme="minorHAnsi"/>
          <w:sz w:val="24"/>
          <w:szCs w:val="24"/>
        </w:rPr>
      </w:pPr>
      <w:r w:rsidRPr="002F5030">
        <w:rPr>
          <w:rFonts w:asciiTheme="minorHAnsi" w:hAnsiTheme="minorHAnsi" w:cstheme="minorHAnsi"/>
          <w:sz w:val="24"/>
          <w:szCs w:val="24"/>
        </w:rPr>
        <w:t>Result Interpretation</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2F5030" w:rsidRPr="002F5030" w14:paraId="7E4676B8" w14:textId="77777777" w:rsidTr="00B4142C">
        <w:tc>
          <w:tcPr>
            <w:tcW w:w="4428" w:type="dxa"/>
            <w:tcBorders>
              <w:top w:val="single" w:sz="4" w:space="0" w:color="auto"/>
              <w:left w:val="single" w:sz="4" w:space="0" w:color="auto"/>
              <w:bottom w:val="single" w:sz="4" w:space="0" w:color="auto"/>
              <w:right w:val="single" w:sz="4" w:space="0" w:color="auto"/>
            </w:tcBorders>
            <w:hideMark/>
          </w:tcPr>
          <w:p w14:paraId="3A2ED19B" w14:textId="77777777" w:rsidR="002F5030" w:rsidRPr="002F5030" w:rsidRDefault="002F5030" w:rsidP="00B4142C">
            <w:pPr>
              <w:pStyle w:val="11SOP"/>
              <w:numPr>
                <w:ilvl w:val="0"/>
                <w:numId w:val="0"/>
              </w:numPr>
              <w:tabs>
                <w:tab w:val="left" w:pos="720"/>
              </w:tabs>
              <w:rPr>
                <w:rFonts w:asciiTheme="minorHAnsi" w:hAnsiTheme="minorHAnsi" w:cstheme="minorHAnsi"/>
                <w:b/>
                <w:sz w:val="24"/>
                <w:szCs w:val="24"/>
              </w:rPr>
            </w:pPr>
            <w:r w:rsidRPr="002F5030">
              <w:rPr>
                <w:rFonts w:asciiTheme="minorHAnsi" w:hAnsiTheme="minorHAnsi" w:cstheme="minorHAnsi"/>
                <w:b/>
                <w:sz w:val="24"/>
                <w:szCs w:val="24"/>
              </w:rPr>
              <w:t>Appearance</w:t>
            </w:r>
          </w:p>
        </w:tc>
        <w:tc>
          <w:tcPr>
            <w:tcW w:w="4428" w:type="dxa"/>
            <w:tcBorders>
              <w:top w:val="single" w:sz="4" w:space="0" w:color="auto"/>
              <w:left w:val="single" w:sz="4" w:space="0" w:color="auto"/>
              <w:bottom w:val="single" w:sz="4" w:space="0" w:color="auto"/>
              <w:right w:val="single" w:sz="4" w:space="0" w:color="auto"/>
            </w:tcBorders>
            <w:hideMark/>
          </w:tcPr>
          <w:p w14:paraId="312BF443" w14:textId="77777777" w:rsidR="002F5030" w:rsidRPr="002F5030" w:rsidRDefault="002F5030" w:rsidP="00B4142C">
            <w:pPr>
              <w:pStyle w:val="11SOP"/>
              <w:numPr>
                <w:ilvl w:val="0"/>
                <w:numId w:val="0"/>
              </w:numPr>
              <w:tabs>
                <w:tab w:val="left" w:pos="720"/>
              </w:tabs>
              <w:rPr>
                <w:rFonts w:asciiTheme="minorHAnsi" w:hAnsiTheme="minorHAnsi" w:cstheme="minorHAnsi"/>
                <w:b/>
                <w:sz w:val="24"/>
                <w:szCs w:val="24"/>
              </w:rPr>
            </w:pPr>
            <w:r w:rsidRPr="002F5030">
              <w:rPr>
                <w:rFonts w:asciiTheme="minorHAnsi" w:hAnsiTheme="minorHAnsi" w:cstheme="minorHAnsi"/>
                <w:b/>
                <w:sz w:val="24"/>
                <w:szCs w:val="24"/>
              </w:rPr>
              <w:t>Result</w:t>
            </w:r>
          </w:p>
        </w:tc>
      </w:tr>
      <w:tr w:rsidR="002F5030" w:rsidRPr="002F5030" w14:paraId="4D69B533" w14:textId="77777777" w:rsidTr="00B4142C">
        <w:tc>
          <w:tcPr>
            <w:tcW w:w="4428" w:type="dxa"/>
            <w:tcBorders>
              <w:top w:val="single" w:sz="4" w:space="0" w:color="auto"/>
              <w:left w:val="single" w:sz="4" w:space="0" w:color="auto"/>
              <w:bottom w:val="single" w:sz="4" w:space="0" w:color="auto"/>
              <w:right w:val="single" w:sz="4" w:space="0" w:color="auto"/>
            </w:tcBorders>
            <w:hideMark/>
          </w:tcPr>
          <w:p w14:paraId="70455C83" w14:textId="77777777" w:rsidR="002F5030" w:rsidRPr="002F5030" w:rsidRDefault="002F5030" w:rsidP="00B4142C">
            <w:pPr>
              <w:pStyle w:val="11SOP"/>
              <w:numPr>
                <w:ilvl w:val="0"/>
                <w:numId w:val="0"/>
              </w:numPr>
              <w:tabs>
                <w:tab w:val="left" w:pos="720"/>
              </w:tabs>
              <w:rPr>
                <w:rFonts w:asciiTheme="minorHAnsi" w:hAnsiTheme="minorHAnsi" w:cstheme="minorHAnsi"/>
                <w:sz w:val="24"/>
                <w:szCs w:val="24"/>
              </w:rPr>
            </w:pPr>
            <w:r w:rsidRPr="002F5030">
              <w:rPr>
                <w:rFonts w:asciiTheme="minorHAnsi" w:hAnsiTheme="minorHAnsi" w:cstheme="minorHAnsi"/>
                <w:sz w:val="24"/>
                <w:szCs w:val="24"/>
              </w:rPr>
              <w:t>Less yellow than the comparator</w:t>
            </w:r>
          </w:p>
        </w:tc>
        <w:tc>
          <w:tcPr>
            <w:tcW w:w="4428" w:type="dxa"/>
            <w:tcBorders>
              <w:top w:val="single" w:sz="4" w:space="0" w:color="auto"/>
              <w:left w:val="single" w:sz="4" w:space="0" w:color="auto"/>
              <w:bottom w:val="single" w:sz="4" w:space="0" w:color="auto"/>
              <w:right w:val="single" w:sz="4" w:space="0" w:color="auto"/>
            </w:tcBorders>
            <w:hideMark/>
          </w:tcPr>
          <w:p w14:paraId="2FFB0E8B" w14:textId="77777777" w:rsidR="002F5030" w:rsidRPr="002F5030" w:rsidRDefault="002F5030" w:rsidP="00B4142C">
            <w:pPr>
              <w:pStyle w:val="11SOP"/>
              <w:numPr>
                <w:ilvl w:val="0"/>
                <w:numId w:val="0"/>
              </w:numPr>
              <w:tabs>
                <w:tab w:val="left" w:pos="720"/>
              </w:tabs>
              <w:rPr>
                <w:rFonts w:asciiTheme="minorHAnsi" w:hAnsiTheme="minorHAnsi" w:cstheme="minorHAnsi"/>
                <w:sz w:val="24"/>
                <w:szCs w:val="24"/>
              </w:rPr>
            </w:pPr>
            <w:r w:rsidRPr="002F5030">
              <w:rPr>
                <w:rFonts w:asciiTheme="minorHAnsi" w:hAnsiTheme="minorHAnsi" w:cstheme="minorHAnsi"/>
                <w:sz w:val="24"/>
                <w:szCs w:val="24"/>
              </w:rPr>
              <w:t xml:space="preserve">Negative for total coliforms and </w:t>
            </w:r>
            <w:r w:rsidRPr="002F5030">
              <w:rPr>
                <w:rFonts w:asciiTheme="minorHAnsi" w:hAnsiTheme="minorHAnsi" w:cstheme="minorHAnsi"/>
                <w:i/>
                <w:iCs/>
                <w:sz w:val="24"/>
                <w:szCs w:val="24"/>
              </w:rPr>
              <w:t>E. coli</w:t>
            </w:r>
          </w:p>
        </w:tc>
      </w:tr>
      <w:tr w:rsidR="002F5030" w:rsidRPr="002F5030" w14:paraId="3B4BF866" w14:textId="77777777" w:rsidTr="00B4142C">
        <w:tc>
          <w:tcPr>
            <w:tcW w:w="4428" w:type="dxa"/>
            <w:tcBorders>
              <w:top w:val="single" w:sz="4" w:space="0" w:color="auto"/>
              <w:left w:val="single" w:sz="4" w:space="0" w:color="auto"/>
              <w:bottom w:val="single" w:sz="4" w:space="0" w:color="auto"/>
              <w:right w:val="single" w:sz="4" w:space="0" w:color="auto"/>
            </w:tcBorders>
            <w:hideMark/>
          </w:tcPr>
          <w:p w14:paraId="6B594309" w14:textId="77777777" w:rsidR="002F5030" w:rsidRPr="002F5030" w:rsidRDefault="002F5030" w:rsidP="00B4142C">
            <w:pPr>
              <w:pStyle w:val="11SOP"/>
              <w:numPr>
                <w:ilvl w:val="0"/>
                <w:numId w:val="0"/>
              </w:numPr>
              <w:tabs>
                <w:tab w:val="left" w:pos="720"/>
              </w:tabs>
              <w:rPr>
                <w:rFonts w:asciiTheme="minorHAnsi" w:hAnsiTheme="minorHAnsi" w:cstheme="minorHAnsi"/>
                <w:sz w:val="24"/>
                <w:szCs w:val="24"/>
              </w:rPr>
            </w:pPr>
            <w:r w:rsidRPr="002F5030">
              <w:rPr>
                <w:rFonts w:asciiTheme="minorHAnsi" w:hAnsiTheme="minorHAnsi" w:cstheme="minorHAnsi"/>
                <w:sz w:val="24"/>
                <w:szCs w:val="24"/>
              </w:rPr>
              <w:t>Yellow equal to or greater than the comparator</w:t>
            </w:r>
          </w:p>
        </w:tc>
        <w:tc>
          <w:tcPr>
            <w:tcW w:w="4428" w:type="dxa"/>
            <w:tcBorders>
              <w:top w:val="single" w:sz="4" w:space="0" w:color="auto"/>
              <w:left w:val="single" w:sz="4" w:space="0" w:color="auto"/>
              <w:bottom w:val="single" w:sz="4" w:space="0" w:color="auto"/>
              <w:right w:val="single" w:sz="4" w:space="0" w:color="auto"/>
            </w:tcBorders>
            <w:hideMark/>
          </w:tcPr>
          <w:p w14:paraId="5A6DA47B" w14:textId="77777777" w:rsidR="002F5030" w:rsidRPr="002F5030" w:rsidRDefault="002F5030" w:rsidP="00B4142C">
            <w:pPr>
              <w:pStyle w:val="11SOP"/>
              <w:numPr>
                <w:ilvl w:val="0"/>
                <w:numId w:val="0"/>
              </w:numPr>
              <w:tabs>
                <w:tab w:val="left" w:pos="720"/>
              </w:tabs>
              <w:rPr>
                <w:rFonts w:asciiTheme="minorHAnsi" w:hAnsiTheme="minorHAnsi" w:cstheme="minorHAnsi"/>
                <w:sz w:val="24"/>
                <w:szCs w:val="24"/>
              </w:rPr>
            </w:pPr>
            <w:r w:rsidRPr="002F5030">
              <w:rPr>
                <w:rFonts w:asciiTheme="minorHAnsi" w:hAnsiTheme="minorHAnsi" w:cstheme="minorHAnsi"/>
                <w:sz w:val="24"/>
                <w:szCs w:val="24"/>
              </w:rPr>
              <w:t>Positive for total coliforms</w:t>
            </w:r>
          </w:p>
        </w:tc>
      </w:tr>
      <w:tr w:rsidR="002F5030" w:rsidRPr="002F5030" w14:paraId="1847C5B9" w14:textId="77777777" w:rsidTr="00B4142C">
        <w:tc>
          <w:tcPr>
            <w:tcW w:w="4428" w:type="dxa"/>
            <w:tcBorders>
              <w:top w:val="single" w:sz="4" w:space="0" w:color="auto"/>
              <w:left w:val="single" w:sz="4" w:space="0" w:color="auto"/>
              <w:bottom w:val="single" w:sz="4" w:space="0" w:color="auto"/>
              <w:right w:val="single" w:sz="4" w:space="0" w:color="auto"/>
            </w:tcBorders>
            <w:hideMark/>
          </w:tcPr>
          <w:p w14:paraId="6C85223D" w14:textId="77777777" w:rsidR="002F5030" w:rsidRPr="002F5030" w:rsidRDefault="002F5030" w:rsidP="00B4142C">
            <w:pPr>
              <w:pStyle w:val="11SOP"/>
              <w:numPr>
                <w:ilvl w:val="0"/>
                <w:numId w:val="0"/>
              </w:numPr>
              <w:tabs>
                <w:tab w:val="left" w:pos="720"/>
              </w:tabs>
              <w:rPr>
                <w:rFonts w:asciiTheme="minorHAnsi" w:hAnsiTheme="minorHAnsi" w:cstheme="minorHAnsi"/>
                <w:sz w:val="24"/>
                <w:szCs w:val="24"/>
              </w:rPr>
            </w:pPr>
            <w:r w:rsidRPr="002F5030">
              <w:rPr>
                <w:rFonts w:asciiTheme="minorHAnsi" w:hAnsiTheme="minorHAnsi" w:cstheme="minorHAnsi"/>
                <w:sz w:val="24"/>
                <w:szCs w:val="24"/>
              </w:rPr>
              <w:t>Yellow and fluorescence equal to or greater than the comparator</w:t>
            </w:r>
          </w:p>
        </w:tc>
        <w:tc>
          <w:tcPr>
            <w:tcW w:w="4428" w:type="dxa"/>
            <w:tcBorders>
              <w:top w:val="single" w:sz="4" w:space="0" w:color="auto"/>
              <w:left w:val="single" w:sz="4" w:space="0" w:color="auto"/>
              <w:bottom w:val="single" w:sz="4" w:space="0" w:color="auto"/>
              <w:right w:val="single" w:sz="4" w:space="0" w:color="auto"/>
            </w:tcBorders>
            <w:hideMark/>
          </w:tcPr>
          <w:p w14:paraId="4A7F7F69" w14:textId="77777777" w:rsidR="002F5030" w:rsidRPr="002F5030" w:rsidRDefault="002F5030" w:rsidP="00B4142C">
            <w:pPr>
              <w:pStyle w:val="11SOP"/>
              <w:numPr>
                <w:ilvl w:val="0"/>
                <w:numId w:val="0"/>
              </w:numPr>
              <w:tabs>
                <w:tab w:val="left" w:pos="720"/>
              </w:tabs>
              <w:rPr>
                <w:rFonts w:asciiTheme="minorHAnsi" w:hAnsiTheme="minorHAnsi" w:cstheme="minorHAnsi"/>
                <w:sz w:val="24"/>
                <w:szCs w:val="24"/>
              </w:rPr>
            </w:pPr>
            <w:r w:rsidRPr="002F5030">
              <w:rPr>
                <w:rFonts w:asciiTheme="minorHAnsi" w:hAnsiTheme="minorHAnsi" w:cstheme="minorHAnsi"/>
                <w:sz w:val="24"/>
                <w:szCs w:val="24"/>
              </w:rPr>
              <w:t xml:space="preserve">Positive for </w:t>
            </w:r>
            <w:r w:rsidRPr="002F5030">
              <w:rPr>
                <w:rFonts w:asciiTheme="minorHAnsi" w:hAnsiTheme="minorHAnsi" w:cstheme="minorHAnsi"/>
                <w:i/>
                <w:iCs/>
                <w:sz w:val="24"/>
                <w:szCs w:val="24"/>
              </w:rPr>
              <w:t>E. coli</w:t>
            </w:r>
          </w:p>
        </w:tc>
      </w:tr>
    </w:tbl>
    <w:p w14:paraId="1D40F0F4" w14:textId="77777777" w:rsidR="002F5030" w:rsidRPr="002F5030" w:rsidRDefault="002F5030" w:rsidP="002F5030">
      <w:pPr>
        <w:pStyle w:val="BodyTextIndent"/>
        <w:rPr>
          <w:rFonts w:asciiTheme="minorHAnsi" w:hAnsiTheme="minorHAnsi" w:cstheme="minorHAnsi"/>
          <w:bCs/>
          <w:szCs w:val="24"/>
        </w:rPr>
      </w:pPr>
    </w:p>
    <w:p w14:paraId="03172548" w14:textId="39E01726" w:rsidR="00E90367" w:rsidRPr="002F5030" w:rsidRDefault="00E90367" w:rsidP="00E90367">
      <w:pPr>
        <w:pStyle w:val="BodyTextIndent"/>
        <w:numPr>
          <w:ilvl w:val="1"/>
          <w:numId w:val="7"/>
        </w:numPr>
        <w:rPr>
          <w:rFonts w:asciiTheme="minorHAnsi" w:hAnsiTheme="minorHAnsi" w:cstheme="minorHAnsi"/>
          <w:bCs/>
          <w:szCs w:val="24"/>
        </w:rPr>
      </w:pPr>
      <w:r w:rsidRPr="002F5030">
        <w:rPr>
          <w:rFonts w:asciiTheme="minorHAnsi" w:hAnsiTheme="minorHAnsi" w:cstheme="minorHAnsi"/>
          <w:bCs/>
          <w:szCs w:val="24"/>
        </w:rPr>
        <w:t xml:space="preserve">If yellow is observed, check vessel for fluorescence by placing a 6-watt, 365nm UV light within five inches of the sample in a dark environment. Be sure the light is facing away from your eyes and towards the vessel. If the fluorescence is equal to or greater than the comparator, the presence of </w:t>
      </w:r>
      <w:r w:rsidRPr="002F5030">
        <w:rPr>
          <w:rFonts w:asciiTheme="minorHAnsi" w:hAnsiTheme="minorHAnsi" w:cstheme="minorHAnsi"/>
          <w:bCs/>
          <w:i/>
          <w:iCs/>
          <w:szCs w:val="24"/>
        </w:rPr>
        <w:t>E. coli</w:t>
      </w:r>
      <w:r w:rsidRPr="002F5030">
        <w:rPr>
          <w:rFonts w:asciiTheme="minorHAnsi" w:hAnsiTheme="minorHAnsi" w:cstheme="minorHAnsi"/>
          <w:bCs/>
          <w:szCs w:val="24"/>
        </w:rPr>
        <w:t xml:space="preserve"> is confirmed. </w:t>
      </w:r>
    </w:p>
    <w:p w14:paraId="607EEFBF" w14:textId="5A0FEAEB" w:rsidR="005A5F7D" w:rsidRPr="005145DD" w:rsidRDefault="005A5F7D" w:rsidP="00B2260D">
      <w:pPr>
        <w:pStyle w:val="BodyTextIndent"/>
        <w:numPr>
          <w:ilvl w:val="1"/>
          <w:numId w:val="7"/>
        </w:numPr>
        <w:rPr>
          <w:rFonts w:asciiTheme="minorHAnsi" w:hAnsiTheme="minorHAnsi" w:cstheme="minorHAnsi"/>
          <w:bCs/>
          <w:szCs w:val="24"/>
        </w:rPr>
      </w:pPr>
      <w:r w:rsidRPr="002F5030">
        <w:rPr>
          <w:rFonts w:asciiTheme="minorHAnsi" w:hAnsiTheme="minorHAnsi" w:cstheme="minorHAnsi"/>
          <w:szCs w:val="24"/>
        </w:rPr>
        <w:t>Count the number of positive wells and refer to the MPN table provided with the trays to obtain a Most Probable Number.</w:t>
      </w:r>
    </w:p>
    <w:p w14:paraId="2FB429B1" w14:textId="6F8235CE" w:rsidR="005145DD" w:rsidRDefault="005145DD" w:rsidP="005145DD">
      <w:pPr>
        <w:pStyle w:val="BodyTextIndent"/>
        <w:rPr>
          <w:rFonts w:asciiTheme="minorHAnsi" w:hAnsiTheme="minorHAnsi" w:cstheme="minorHAnsi"/>
          <w:szCs w:val="24"/>
        </w:rPr>
      </w:pPr>
    </w:p>
    <w:p w14:paraId="71572308" w14:textId="36E7EC35" w:rsidR="005145DD" w:rsidRDefault="005145DD" w:rsidP="005145DD">
      <w:pPr>
        <w:pStyle w:val="BodyTextIndent"/>
        <w:rPr>
          <w:rFonts w:asciiTheme="minorHAnsi" w:hAnsiTheme="minorHAnsi" w:cstheme="minorHAnsi"/>
          <w:szCs w:val="24"/>
        </w:rPr>
      </w:pPr>
    </w:p>
    <w:p w14:paraId="7A5D824B" w14:textId="705C7DAA" w:rsidR="005145DD" w:rsidRDefault="005145DD" w:rsidP="005145DD">
      <w:pPr>
        <w:pStyle w:val="BodyTextIndent"/>
        <w:rPr>
          <w:rFonts w:asciiTheme="minorHAnsi" w:hAnsiTheme="minorHAnsi" w:cstheme="minorHAnsi"/>
          <w:szCs w:val="24"/>
        </w:rPr>
      </w:pPr>
    </w:p>
    <w:p w14:paraId="274DDDDE" w14:textId="714551E8" w:rsidR="005145DD" w:rsidRDefault="005145DD" w:rsidP="005145DD">
      <w:pPr>
        <w:pStyle w:val="BodyTextIndent"/>
        <w:rPr>
          <w:rFonts w:asciiTheme="minorHAnsi" w:hAnsiTheme="minorHAnsi" w:cstheme="minorHAnsi"/>
          <w:szCs w:val="24"/>
        </w:rPr>
      </w:pPr>
    </w:p>
    <w:p w14:paraId="0B641D55" w14:textId="10F72D5E" w:rsidR="005145DD" w:rsidRDefault="005145DD" w:rsidP="005145DD">
      <w:pPr>
        <w:pStyle w:val="BodyTextIndent"/>
        <w:rPr>
          <w:rFonts w:asciiTheme="minorHAnsi" w:hAnsiTheme="minorHAnsi" w:cstheme="minorHAnsi"/>
          <w:bCs/>
          <w:szCs w:val="24"/>
        </w:rPr>
      </w:pPr>
    </w:p>
    <w:p w14:paraId="75941DE7" w14:textId="4E4C0DF2" w:rsidR="005145DD" w:rsidRDefault="005145DD" w:rsidP="005145DD">
      <w:pPr>
        <w:pStyle w:val="BodyTextIndent"/>
        <w:rPr>
          <w:rFonts w:asciiTheme="minorHAnsi" w:hAnsiTheme="minorHAnsi" w:cstheme="minorHAnsi"/>
          <w:bCs/>
          <w:szCs w:val="24"/>
        </w:rPr>
      </w:pPr>
    </w:p>
    <w:p w14:paraId="56BFCD76" w14:textId="77777777" w:rsidR="005145DD" w:rsidRPr="002F5030" w:rsidRDefault="005145DD" w:rsidP="005145DD">
      <w:pPr>
        <w:pStyle w:val="BodyTextIndent"/>
        <w:rPr>
          <w:rFonts w:asciiTheme="minorHAnsi" w:hAnsiTheme="minorHAnsi" w:cstheme="minorHAnsi"/>
          <w:bCs/>
          <w:szCs w:val="24"/>
        </w:rPr>
      </w:pPr>
    </w:p>
    <w:p w14:paraId="1EEEC4F6" w14:textId="77777777" w:rsidR="002F5030" w:rsidRPr="002F5030" w:rsidRDefault="002F5030" w:rsidP="002F5030">
      <w:pPr>
        <w:pStyle w:val="10SOP"/>
        <w:keepNext w:val="0"/>
        <w:numPr>
          <w:ilvl w:val="0"/>
          <w:numId w:val="7"/>
        </w:numPr>
        <w:rPr>
          <w:rFonts w:asciiTheme="minorHAnsi" w:hAnsiTheme="minorHAnsi" w:cstheme="minorHAnsi"/>
          <w:sz w:val="24"/>
          <w:szCs w:val="24"/>
        </w:rPr>
      </w:pPr>
      <w:r w:rsidRPr="002F5030">
        <w:rPr>
          <w:rFonts w:asciiTheme="minorHAnsi" w:hAnsiTheme="minorHAnsi" w:cstheme="minorHAnsi"/>
          <w:sz w:val="24"/>
          <w:szCs w:val="24"/>
        </w:rPr>
        <w:t>Waste Management</w:t>
      </w:r>
    </w:p>
    <w:p w14:paraId="235E6848" w14:textId="77777777" w:rsidR="002F5030" w:rsidRPr="002F5030" w:rsidRDefault="002F5030" w:rsidP="002F5030">
      <w:pPr>
        <w:pStyle w:val="10SOP"/>
        <w:keepNext w:val="0"/>
        <w:numPr>
          <w:ilvl w:val="1"/>
          <w:numId w:val="7"/>
        </w:numPr>
        <w:rPr>
          <w:rFonts w:asciiTheme="minorHAnsi" w:hAnsiTheme="minorHAnsi" w:cstheme="minorHAnsi"/>
          <w:b w:val="0"/>
          <w:sz w:val="24"/>
          <w:szCs w:val="24"/>
        </w:rPr>
      </w:pPr>
      <w:r w:rsidRPr="002F5030">
        <w:rPr>
          <w:rFonts w:asciiTheme="minorHAnsi" w:hAnsiTheme="minorHAnsi" w:cstheme="minorHAnsi"/>
          <w:b w:val="0"/>
          <w:sz w:val="24"/>
          <w:szCs w:val="24"/>
        </w:rPr>
        <w:t>Medford WWTP laboratory shall do it’s best to minimize pollution of the environment and manage its hazardous wastes in a safe and environmentally sound matter.</w:t>
      </w:r>
    </w:p>
    <w:p w14:paraId="426204DC" w14:textId="7D199902" w:rsidR="002F5030" w:rsidRPr="005145DD" w:rsidRDefault="002F5030" w:rsidP="005145DD">
      <w:pPr>
        <w:pStyle w:val="10SOP"/>
        <w:keepNext w:val="0"/>
        <w:numPr>
          <w:ilvl w:val="1"/>
          <w:numId w:val="7"/>
        </w:numPr>
        <w:rPr>
          <w:rFonts w:asciiTheme="minorHAnsi" w:hAnsiTheme="minorHAnsi" w:cstheme="minorHAnsi"/>
          <w:b w:val="0"/>
          <w:sz w:val="24"/>
          <w:szCs w:val="24"/>
        </w:rPr>
      </w:pPr>
      <w:r w:rsidRPr="002F5030">
        <w:rPr>
          <w:rFonts w:asciiTheme="minorHAnsi" w:hAnsiTheme="minorHAnsi" w:cstheme="minorHAnsi"/>
          <w:b w:val="0"/>
          <w:sz w:val="24"/>
          <w:szCs w:val="24"/>
        </w:rPr>
        <w:t>Consider environmental impact when purchasing materials, handling chemicals and disposing of wastes.</w:t>
      </w:r>
    </w:p>
    <w:p w14:paraId="0195CD56" w14:textId="77777777" w:rsidR="002F5030" w:rsidRPr="002F5030" w:rsidRDefault="002F5030" w:rsidP="002F5030">
      <w:pPr>
        <w:pStyle w:val="10SOP"/>
        <w:keepNext w:val="0"/>
        <w:numPr>
          <w:ilvl w:val="0"/>
          <w:numId w:val="7"/>
        </w:numPr>
        <w:rPr>
          <w:rFonts w:asciiTheme="minorHAnsi" w:hAnsiTheme="minorHAnsi" w:cstheme="minorHAnsi"/>
          <w:sz w:val="24"/>
          <w:szCs w:val="24"/>
        </w:rPr>
      </w:pPr>
      <w:r w:rsidRPr="002F5030">
        <w:rPr>
          <w:rFonts w:asciiTheme="minorHAnsi" w:hAnsiTheme="minorHAnsi" w:cstheme="minorHAnsi"/>
          <w:sz w:val="24"/>
          <w:szCs w:val="24"/>
        </w:rPr>
        <w:t>Safety Plan</w:t>
      </w:r>
    </w:p>
    <w:p w14:paraId="6AF2FF3B" w14:textId="77777777" w:rsidR="002F5030" w:rsidRPr="002F5030" w:rsidRDefault="002F5030" w:rsidP="002F5030">
      <w:pPr>
        <w:pStyle w:val="10SOP"/>
        <w:keepNext w:val="0"/>
        <w:numPr>
          <w:ilvl w:val="0"/>
          <w:numId w:val="0"/>
        </w:numPr>
        <w:ind w:left="720" w:hanging="720"/>
        <w:rPr>
          <w:rFonts w:asciiTheme="minorHAnsi" w:hAnsiTheme="minorHAnsi" w:cstheme="minorHAnsi"/>
          <w:b w:val="0"/>
          <w:sz w:val="24"/>
          <w:szCs w:val="24"/>
        </w:rPr>
      </w:pPr>
      <w:r w:rsidRPr="002F5030">
        <w:rPr>
          <w:rFonts w:asciiTheme="minorHAnsi" w:hAnsiTheme="minorHAnsi" w:cstheme="minorHAnsi"/>
          <w:b w:val="0"/>
          <w:sz w:val="24"/>
          <w:szCs w:val="24"/>
        </w:rPr>
        <w:t xml:space="preserve">Handling microbial hazards requires proper protection equipment and measures. </w:t>
      </w:r>
    </w:p>
    <w:p w14:paraId="073673F9" w14:textId="77777777" w:rsidR="002F5030" w:rsidRPr="002F5030" w:rsidRDefault="002F5030" w:rsidP="002F5030">
      <w:pPr>
        <w:pStyle w:val="10SOP"/>
        <w:keepNext w:val="0"/>
        <w:numPr>
          <w:ilvl w:val="1"/>
          <w:numId w:val="7"/>
        </w:numPr>
        <w:spacing w:after="0"/>
        <w:rPr>
          <w:rFonts w:asciiTheme="minorHAnsi" w:hAnsiTheme="minorHAnsi" w:cstheme="minorHAnsi"/>
          <w:sz w:val="24"/>
          <w:szCs w:val="24"/>
        </w:rPr>
      </w:pPr>
      <w:r w:rsidRPr="002F5030">
        <w:rPr>
          <w:rFonts w:asciiTheme="minorHAnsi" w:hAnsiTheme="minorHAnsi" w:cstheme="minorHAnsi"/>
          <w:sz w:val="24"/>
          <w:szCs w:val="24"/>
        </w:rPr>
        <w:t>PPE:</w:t>
      </w:r>
    </w:p>
    <w:p w14:paraId="4F0BC7EF" w14:textId="77777777" w:rsidR="002F5030" w:rsidRPr="002F5030" w:rsidRDefault="002F5030" w:rsidP="002F5030">
      <w:pPr>
        <w:pStyle w:val="10SOP"/>
        <w:keepNext w:val="0"/>
        <w:numPr>
          <w:ilvl w:val="6"/>
          <w:numId w:val="7"/>
        </w:numPr>
        <w:spacing w:after="0"/>
        <w:rPr>
          <w:rFonts w:asciiTheme="minorHAnsi" w:hAnsiTheme="minorHAnsi" w:cstheme="minorHAnsi"/>
          <w:b w:val="0"/>
          <w:sz w:val="24"/>
          <w:szCs w:val="24"/>
        </w:rPr>
      </w:pPr>
      <w:r w:rsidRPr="002F5030">
        <w:rPr>
          <w:rFonts w:asciiTheme="minorHAnsi" w:hAnsiTheme="minorHAnsi" w:cstheme="minorHAnsi"/>
          <w:b w:val="0"/>
          <w:sz w:val="24"/>
          <w:szCs w:val="24"/>
        </w:rPr>
        <w:t>Safety Glasses</w:t>
      </w:r>
    </w:p>
    <w:p w14:paraId="120209AC" w14:textId="77777777" w:rsidR="002F5030" w:rsidRPr="002F5030" w:rsidRDefault="002F5030" w:rsidP="002F5030">
      <w:pPr>
        <w:pStyle w:val="10SOP"/>
        <w:keepNext w:val="0"/>
        <w:numPr>
          <w:ilvl w:val="6"/>
          <w:numId w:val="7"/>
        </w:numPr>
        <w:spacing w:after="0"/>
        <w:rPr>
          <w:rFonts w:asciiTheme="minorHAnsi" w:hAnsiTheme="minorHAnsi" w:cstheme="minorHAnsi"/>
          <w:b w:val="0"/>
          <w:sz w:val="24"/>
          <w:szCs w:val="24"/>
        </w:rPr>
      </w:pPr>
      <w:r w:rsidRPr="002F5030">
        <w:rPr>
          <w:rFonts w:asciiTheme="minorHAnsi" w:hAnsiTheme="minorHAnsi" w:cstheme="minorHAnsi"/>
          <w:b w:val="0"/>
          <w:sz w:val="24"/>
          <w:szCs w:val="24"/>
        </w:rPr>
        <w:t>Nitrile or Latex examination gloves</w:t>
      </w:r>
    </w:p>
    <w:p w14:paraId="7339C9E6" w14:textId="77777777" w:rsidR="002F5030" w:rsidRPr="002F5030" w:rsidRDefault="002F5030" w:rsidP="002F5030">
      <w:pPr>
        <w:pStyle w:val="10SOP"/>
        <w:keepNext w:val="0"/>
        <w:numPr>
          <w:ilvl w:val="6"/>
          <w:numId w:val="7"/>
        </w:numPr>
        <w:spacing w:after="0"/>
        <w:rPr>
          <w:rFonts w:asciiTheme="minorHAnsi" w:hAnsiTheme="minorHAnsi" w:cstheme="minorHAnsi"/>
          <w:b w:val="0"/>
          <w:sz w:val="24"/>
          <w:szCs w:val="24"/>
        </w:rPr>
      </w:pPr>
      <w:r w:rsidRPr="002F5030">
        <w:rPr>
          <w:rFonts w:asciiTheme="minorHAnsi" w:hAnsiTheme="minorHAnsi" w:cstheme="minorHAnsi"/>
          <w:b w:val="0"/>
          <w:sz w:val="24"/>
          <w:szCs w:val="24"/>
        </w:rPr>
        <w:t>Hood Vent (if needed while making bleach solution or disinfecting contaminated and negative samples.)</w:t>
      </w:r>
    </w:p>
    <w:p w14:paraId="0B036229" w14:textId="77777777" w:rsidR="002F5030" w:rsidRPr="002F5030" w:rsidRDefault="002F5030" w:rsidP="002F5030">
      <w:pPr>
        <w:pStyle w:val="10SOP"/>
        <w:keepNext w:val="0"/>
        <w:numPr>
          <w:ilvl w:val="1"/>
          <w:numId w:val="7"/>
        </w:numPr>
        <w:rPr>
          <w:rFonts w:asciiTheme="minorHAnsi" w:hAnsiTheme="minorHAnsi" w:cstheme="minorHAnsi"/>
          <w:sz w:val="24"/>
          <w:szCs w:val="24"/>
        </w:rPr>
      </w:pPr>
      <w:r w:rsidRPr="002F5030">
        <w:rPr>
          <w:rFonts w:asciiTheme="minorHAnsi" w:hAnsiTheme="minorHAnsi" w:cstheme="minorHAnsi"/>
          <w:sz w:val="24"/>
          <w:szCs w:val="24"/>
        </w:rPr>
        <w:t>Procedure:</w:t>
      </w:r>
    </w:p>
    <w:p w14:paraId="1BD97E10" w14:textId="77777777" w:rsidR="002F5030" w:rsidRPr="002F5030" w:rsidRDefault="002F5030" w:rsidP="002F5030">
      <w:pPr>
        <w:pStyle w:val="10SOP"/>
        <w:keepNext w:val="0"/>
        <w:numPr>
          <w:ilvl w:val="0"/>
          <w:numId w:val="0"/>
        </w:numPr>
        <w:ind w:left="720" w:hanging="720"/>
        <w:rPr>
          <w:rFonts w:asciiTheme="minorHAnsi" w:hAnsiTheme="minorHAnsi" w:cstheme="minorHAnsi"/>
          <w:b w:val="0"/>
          <w:sz w:val="24"/>
          <w:szCs w:val="24"/>
        </w:rPr>
      </w:pPr>
      <w:r w:rsidRPr="002F5030">
        <w:rPr>
          <w:rFonts w:asciiTheme="minorHAnsi" w:hAnsiTheme="minorHAnsi" w:cstheme="minorHAnsi"/>
          <w:b w:val="0"/>
          <w:sz w:val="24"/>
          <w:szCs w:val="24"/>
        </w:rPr>
        <w:t xml:space="preserve"> </w:t>
      </w:r>
      <w:r w:rsidRPr="002F5030">
        <w:rPr>
          <w:rFonts w:asciiTheme="minorHAnsi" w:hAnsiTheme="minorHAnsi" w:cstheme="minorHAnsi"/>
          <w:b w:val="0"/>
          <w:sz w:val="24"/>
          <w:szCs w:val="24"/>
        </w:rPr>
        <w:tab/>
        <w:t>Lab staff should disinfect set-up area prior to and after handling samples. Using a 1:10 dilution of bleach and water, spray and wipe down area. Carefully handle samples to minimize contamination or spills. When set-up is complete, spray the area and wipe up using a clean paper towel. It is recommended that staff wash their hands using an antibacterial soap even after using gloves. Staff shall also follow this procedure while disinfecting and disposing samples.</w:t>
      </w:r>
    </w:p>
    <w:p w14:paraId="62C580B8" w14:textId="703051A9" w:rsidR="006211FD" w:rsidRPr="002F5030" w:rsidRDefault="006211FD" w:rsidP="00DB7479">
      <w:pPr>
        <w:pStyle w:val="BodyTextIndent"/>
        <w:ind w:left="0" w:firstLine="0"/>
        <w:rPr>
          <w:rFonts w:asciiTheme="minorHAnsi" w:hAnsiTheme="minorHAnsi" w:cstheme="minorHAnsi"/>
          <w:b/>
          <w:szCs w:val="24"/>
        </w:rPr>
      </w:pPr>
      <w:r w:rsidRPr="002F5030">
        <w:rPr>
          <w:rFonts w:asciiTheme="minorHAnsi" w:hAnsiTheme="minorHAnsi" w:cstheme="minorHAnsi"/>
          <w:b/>
          <w:szCs w:val="24"/>
        </w:rPr>
        <w:t>References</w:t>
      </w:r>
    </w:p>
    <w:p w14:paraId="56B19B43" w14:textId="16AA5EEE" w:rsidR="002F5030" w:rsidRPr="002F5030" w:rsidRDefault="002F5030" w:rsidP="002F5030">
      <w:pPr>
        <w:pStyle w:val="ListParagraph"/>
        <w:widowControl/>
        <w:numPr>
          <w:ilvl w:val="1"/>
          <w:numId w:val="5"/>
        </w:numPr>
        <w:ind w:left="810"/>
        <w:rPr>
          <w:rFonts w:asciiTheme="minorHAnsi" w:hAnsiTheme="minorHAnsi" w:cstheme="minorHAnsi"/>
          <w:b/>
          <w:sz w:val="24"/>
          <w:szCs w:val="24"/>
        </w:rPr>
      </w:pPr>
      <w:r w:rsidRPr="002F5030">
        <w:rPr>
          <w:rFonts w:asciiTheme="minorHAnsi" w:hAnsiTheme="minorHAnsi" w:cstheme="minorHAnsi"/>
          <w:sz w:val="24"/>
          <w:szCs w:val="24"/>
        </w:rPr>
        <w:t>IDEXX Colilert-18 Test Kit Insert</w:t>
      </w:r>
    </w:p>
    <w:p w14:paraId="769E417D" w14:textId="54540D68" w:rsidR="002F5030" w:rsidRPr="002F5030" w:rsidRDefault="002F5030" w:rsidP="002F5030">
      <w:pPr>
        <w:pStyle w:val="ListParagraph"/>
        <w:widowControl/>
        <w:numPr>
          <w:ilvl w:val="1"/>
          <w:numId w:val="5"/>
        </w:numPr>
        <w:ind w:left="810"/>
        <w:rPr>
          <w:rFonts w:asciiTheme="minorHAnsi" w:hAnsiTheme="minorHAnsi" w:cstheme="minorHAnsi"/>
          <w:b/>
          <w:sz w:val="24"/>
          <w:szCs w:val="24"/>
        </w:rPr>
      </w:pPr>
      <w:r w:rsidRPr="002F5030">
        <w:rPr>
          <w:rFonts w:asciiTheme="minorHAnsi" w:hAnsiTheme="minorHAnsi" w:cstheme="minorHAnsi"/>
          <w:sz w:val="24"/>
          <w:szCs w:val="24"/>
        </w:rPr>
        <w:t>Quanti-Tray Insert and Most Probable Number (MPN) Table</w:t>
      </w:r>
    </w:p>
    <w:p w14:paraId="304344AF" w14:textId="13B4B5AD" w:rsidR="002F5030" w:rsidRPr="002F5030" w:rsidRDefault="002F5030" w:rsidP="002F5030">
      <w:pPr>
        <w:widowControl/>
        <w:numPr>
          <w:ilvl w:val="1"/>
          <w:numId w:val="5"/>
        </w:numPr>
        <w:ind w:left="810"/>
        <w:rPr>
          <w:rFonts w:asciiTheme="minorHAnsi" w:hAnsiTheme="minorHAnsi" w:cstheme="minorHAnsi"/>
          <w:b/>
          <w:sz w:val="24"/>
          <w:szCs w:val="24"/>
        </w:rPr>
      </w:pPr>
      <w:r w:rsidRPr="002F5030">
        <w:rPr>
          <w:rFonts w:asciiTheme="minorHAnsi" w:hAnsiTheme="minorHAnsi" w:cstheme="minorHAnsi"/>
          <w:sz w:val="24"/>
          <w:szCs w:val="24"/>
        </w:rPr>
        <w:t>Chapter V Critical Elements for Microbiology</w:t>
      </w:r>
    </w:p>
    <w:p w14:paraId="6678EBE4" w14:textId="73EAD9DC" w:rsidR="002F5030" w:rsidRPr="002F5030" w:rsidRDefault="002F5030" w:rsidP="002F5030">
      <w:pPr>
        <w:widowControl/>
        <w:numPr>
          <w:ilvl w:val="1"/>
          <w:numId w:val="5"/>
        </w:numPr>
        <w:ind w:left="810"/>
        <w:rPr>
          <w:rFonts w:asciiTheme="minorHAnsi" w:hAnsiTheme="minorHAnsi" w:cstheme="minorHAnsi"/>
          <w:b/>
          <w:sz w:val="24"/>
          <w:szCs w:val="24"/>
        </w:rPr>
      </w:pPr>
      <w:r w:rsidRPr="002F5030">
        <w:rPr>
          <w:rFonts w:asciiTheme="minorHAnsi" w:hAnsiTheme="minorHAnsi" w:cstheme="minorHAnsi"/>
          <w:sz w:val="24"/>
          <w:szCs w:val="24"/>
        </w:rPr>
        <w:t>Standard Methods for the Examination Water and Wastewater 22</w:t>
      </w:r>
      <w:r w:rsidRPr="002F5030">
        <w:rPr>
          <w:rFonts w:asciiTheme="minorHAnsi" w:hAnsiTheme="minorHAnsi" w:cstheme="minorHAnsi"/>
          <w:sz w:val="24"/>
          <w:szCs w:val="24"/>
          <w:vertAlign w:val="superscript"/>
        </w:rPr>
        <w:t>nd</w:t>
      </w:r>
      <w:r w:rsidRPr="002F5030">
        <w:rPr>
          <w:rFonts w:asciiTheme="minorHAnsi" w:hAnsiTheme="minorHAnsi" w:cstheme="minorHAnsi"/>
          <w:sz w:val="24"/>
          <w:szCs w:val="24"/>
        </w:rPr>
        <w:t xml:space="preserve"> Edition</w:t>
      </w:r>
    </w:p>
    <w:p w14:paraId="1E1829B6" w14:textId="77777777" w:rsidR="00B301F1" w:rsidRPr="002F5030" w:rsidRDefault="00B301F1" w:rsidP="00C7057A">
      <w:pPr>
        <w:tabs>
          <w:tab w:val="left" w:pos="7672"/>
        </w:tabs>
        <w:rPr>
          <w:rFonts w:asciiTheme="minorHAnsi" w:hAnsiTheme="minorHAnsi" w:cstheme="minorHAnsi"/>
          <w:sz w:val="24"/>
          <w:szCs w:val="24"/>
        </w:rPr>
      </w:pPr>
    </w:p>
    <w:p w14:paraId="2004E38A" w14:textId="77777777" w:rsidR="00B301F1" w:rsidRPr="002F5030" w:rsidRDefault="00B301F1" w:rsidP="00C7057A">
      <w:pPr>
        <w:tabs>
          <w:tab w:val="left" w:pos="7672"/>
        </w:tabs>
        <w:rPr>
          <w:rFonts w:asciiTheme="minorHAnsi" w:hAnsiTheme="minorHAnsi" w:cstheme="minorHAnsi"/>
          <w:sz w:val="24"/>
          <w:szCs w:val="24"/>
        </w:rPr>
      </w:pPr>
    </w:p>
    <w:p w14:paraId="7699F65A" w14:textId="77777777" w:rsidR="00B301F1" w:rsidRPr="002F5030" w:rsidRDefault="00B301F1" w:rsidP="00C7057A">
      <w:pPr>
        <w:tabs>
          <w:tab w:val="left" w:pos="7672"/>
        </w:tabs>
        <w:rPr>
          <w:rFonts w:asciiTheme="minorHAnsi" w:hAnsiTheme="minorHAnsi" w:cstheme="minorHAnsi"/>
          <w:sz w:val="24"/>
          <w:szCs w:val="24"/>
        </w:rPr>
      </w:pPr>
    </w:p>
    <w:p w14:paraId="0FB16718" w14:textId="7018530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 xml:space="preserve">SOP Prepared by: </w:t>
      </w:r>
    </w:p>
    <w:p w14:paraId="23CCB8D8" w14:textId="7777777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Brooke Klingbeil</w:t>
      </w:r>
    </w:p>
    <w:p w14:paraId="7FDC07FD" w14:textId="7777777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Laboratory Director</w:t>
      </w:r>
    </w:p>
    <w:p w14:paraId="372B66BA" w14:textId="7777777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Medford Wastewater Treatment Plant</w:t>
      </w:r>
    </w:p>
    <w:p w14:paraId="1710C41E" w14:textId="7777777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Phone: (715)748-4122</w:t>
      </w:r>
    </w:p>
    <w:p w14:paraId="79405E81" w14:textId="7777777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 xml:space="preserve">E-mail: </w:t>
      </w:r>
      <w:hyperlink r:id="rId8" w:history="1">
        <w:r w:rsidRPr="005145DD">
          <w:rPr>
            <w:rStyle w:val="Hyperlink"/>
            <w:rFonts w:asciiTheme="minorHAnsi" w:hAnsiTheme="minorHAnsi" w:cstheme="minorHAnsi"/>
            <w:sz w:val="24"/>
            <w:szCs w:val="24"/>
          </w:rPr>
          <w:t>bklingbeil@medfordwi.us</w:t>
        </w:r>
      </w:hyperlink>
    </w:p>
    <w:p w14:paraId="35767021" w14:textId="77777777" w:rsidR="005145DD" w:rsidRPr="005145DD" w:rsidRDefault="005145DD" w:rsidP="005145DD">
      <w:pPr>
        <w:rPr>
          <w:rFonts w:asciiTheme="minorHAnsi" w:hAnsiTheme="minorHAnsi" w:cstheme="minorHAnsi"/>
          <w:sz w:val="24"/>
          <w:szCs w:val="24"/>
        </w:rPr>
      </w:pPr>
      <w:r w:rsidRPr="005145DD">
        <w:rPr>
          <w:rFonts w:asciiTheme="minorHAnsi" w:hAnsiTheme="minorHAnsi" w:cstheme="minorHAnsi"/>
          <w:sz w:val="24"/>
          <w:szCs w:val="24"/>
        </w:rPr>
        <w:t>Fax: (715)748-0822</w:t>
      </w:r>
    </w:p>
    <w:p w14:paraId="0B8CD701" w14:textId="77777777" w:rsidR="00B301F1" w:rsidRPr="002F5030" w:rsidRDefault="00B301F1" w:rsidP="00C7057A">
      <w:pPr>
        <w:tabs>
          <w:tab w:val="left" w:pos="7672"/>
        </w:tabs>
        <w:rPr>
          <w:rFonts w:asciiTheme="minorHAnsi" w:hAnsiTheme="minorHAnsi" w:cstheme="minorHAnsi"/>
          <w:sz w:val="24"/>
          <w:szCs w:val="24"/>
        </w:rPr>
      </w:pPr>
    </w:p>
    <w:p w14:paraId="35210207" w14:textId="77777777" w:rsidR="00B301F1" w:rsidRPr="002F5030" w:rsidRDefault="00B301F1" w:rsidP="00C7057A">
      <w:pPr>
        <w:tabs>
          <w:tab w:val="left" w:pos="7672"/>
        </w:tabs>
        <w:rPr>
          <w:rFonts w:asciiTheme="minorHAnsi" w:hAnsiTheme="minorHAnsi" w:cstheme="minorHAnsi"/>
          <w:sz w:val="24"/>
          <w:szCs w:val="24"/>
        </w:rPr>
      </w:pPr>
    </w:p>
    <w:p w14:paraId="4E579704" w14:textId="77777777" w:rsidR="00B301F1" w:rsidRPr="002F5030" w:rsidRDefault="00B301F1" w:rsidP="00C7057A">
      <w:pPr>
        <w:tabs>
          <w:tab w:val="left" w:pos="7672"/>
        </w:tabs>
        <w:rPr>
          <w:rFonts w:asciiTheme="minorHAnsi" w:hAnsiTheme="minorHAnsi" w:cstheme="minorHAnsi"/>
          <w:sz w:val="24"/>
          <w:szCs w:val="24"/>
        </w:rPr>
      </w:pPr>
    </w:p>
    <w:p w14:paraId="67B26628" w14:textId="42A62D8A" w:rsidR="00B301F1" w:rsidRPr="002F5030" w:rsidRDefault="00B301F1" w:rsidP="00C7057A">
      <w:pPr>
        <w:tabs>
          <w:tab w:val="left" w:pos="7672"/>
        </w:tabs>
        <w:rPr>
          <w:rFonts w:asciiTheme="minorHAnsi" w:hAnsiTheme="minorHAnsi" w:cstheme="minorHAnsi"/>
          <w:sz w:val="24"/>
          <w:szCs w:val="24"/>
        </w:rPr>
      </w:pPr>
    </w:p>
    <w:p w14:paraId="7C2DD37B" w14:textId="77777777" w:rsidR="002911B4" w:rsidRPr="002F5030" w:rsidRDefault="002911B4" w:rsidP="00C7057A">
      <w:pPr>
        <w:tabs>
          <w:tab w:val="left" w:pos="7672"/>
        </w:tabs>
        <w:rPr>
          <w:rFonts w:asciiTheme="minorHAnsi" w:hAnsiTheme="minorHAnsi" w:cstheme="minorHAnsi"/>
          <w:sz w:val="24"/>
          <w:szCs w:val="24"/>
        </w:rPr>
      </w:pPr>
    </w:p>
    <w:p w14:paraId="4205E984" w14:textId="77777777" w:rsidR="00C7057A" w:rsidRPr="002F5030" w:rsidRDefault="00C7057A" w:rsidP="00C7057A">
      <w:pPr>
        <w:tabs>
          <w:tab w:val="left" w:pos="7672"/>
        </w:tabs>
        <w:rPr>
          <w:rFonts w:asciiTheme="minorHAnsi" w:hAnsiTheme="minorHAnsi" w:cstheme="minorHAnsi"/>
          <w:sz w:val="24"/>
          <w:szCs w:val="24"/>
        </w:rPr>
      </w:pPr>
      <w:r w:rsidRPr="002F5030">
        <w:rPr>
          <w:rFonts w:asciiTheme="minorHAnsi" w:hAnsiTheme="minorHAnsi" w:cstheme="minorHAnsi"/>
          <w:sz w:val="24"/>
          <w:szCs w:val="24"/>
        </w:rPr>
        <w:t>I have read this SOP and will perform lab work as specified within this procedure.</w:t>
      </w:r>
      <w:r w:rsidRPr="002F5030">
        <w:rPr>
          <w:rFonts w:asciiTheme="minorHAnsi" w:hAnsiTheme="minorHAnsi" w:cstheme="minorHAnsi"/>
          <w:sz w:val="24"/>
          <w:szCs w:val="24"/>
        </w:rPr>
        <w:tab/>
        <w:t>(sign and date)</w:t>
      </w:r>
    </w:p>
    <w:p w14:paraId="77DC56C0" w14:textId="77777777" w:rsidR="00C7057A" w:rsidRPr="002F5030" w:rsidRDefault="004E2074" w:rsidP="00C7057A">
      <w:pPr>
        <w:rPr>
          <w:rFonts w:asciiTheme="minorHAnsi" w:hAnsiTheme="minorHAnsi" w:cstheme="minorHAnsi"/>
          <w:sz w:val="24"/>
          <w:szCs w:val="24"/>
        </w:rPr>
      </w:pPr>
      <w:r>
        <w:rPr>
          <w:rFonts w:asciiTheme="minorHAnsi" w:hAnsiTheme="minorHAnsi" w:cstheme="minorHAnsi"/>
          <w:sz w:val="24"/>
          <w:szCs w:val="24"/>
        </w:rPr>
        <w:pict w14:anchorId="631D1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9" o:title=""/>
            <o:lock v:ext="edit" ungrouping="t" rotation="t" cropping="t" verticies="t" grouping="t"/>
            <o:signatureline v:ext="edit" id="{251DBC6C-2851-41BF-B976-6AA09E38F6A8}" provid="{00000000-0000-0000-0000-000000000000}" issignatureline="t"/>
          </v:shape>
        </w:pict>
      </w:r>
    </w:p>
    <w:p w14:paraId="5AF8EFDF" w14:textId="77777777" w:rsidR="00C7057A" w:rsidRPr="002F5030" w:rsidRDefault="004E2074" w:rsidP="00C7057A">
      <w:pPr>
        <w:rPr>
          <w:rFonts w:asciiTheme="minorHAnsi" w:hAnsiTheme="minorHAnsi" w:cstheme="minorHAnsi"/>
          <w:sz w:val="24"/>
          <w:szCs w:val="24"/>
        </w:rPr>
      </w:pPr>
      <w:r>
        <w:rPr>
          <w:rFonts w:asciiTheme="minorHAnsi" w:hAnsiTheme="minorHAnsi" w:cstheme="minorHAnsi"/>
          <w:sz w:val="24"/>
          <w:szCs w:val="24"/>
        </w:rPr>
        <w:pict w14:anchorId="6D8C310C">
          <v:shape id="_x0000_i1026" type="#_x0000_t75" alt="Microsoft Office Signature Line..." style="width:194.4pt;height:93.6pt">
            <v:imagedata r:id="rId9" o:title=""/>
            <o:lock v:ext="edit" ungrouping="t" rotation="t" cropping="t" verticies="t" grouping="t"/>
            <o:signatureline v:ext="edit" id="{F8375A5A-7572-41ED-934D-F7C74555CE2D}" provid="{00000000-0000-0000-0000-000000000000}" issignatureline="t"/>
          </v:shape>
        </w:pict>
      </w:r>
    </w:p>
    <w:p w14:paraId="1B171C0D" w14:textId="77777777" w:rsidR="00C7057A" w:rsidRPr="002F5030" w:rsidRDefault="004E2074" w:rsidP="00C7057A">
      <w:pPr>
        <w:rPr>
          <w:rFonts w:asciiTheme="minorHAnsi" w:hAnsiTheme="minorHAnsi" w:cstheme="minorHAnsi"/>
          <w:sz w:val="24"/>
          <w:szCs w:val="24"/>
        </w:rPr>
      </w:pPr>
      <w:r>
        <w:rPr>
          <w:rFonts w:asciiTheme="minorHAnsi" w:hAnsiTheme="minorHAnsi" w:cstheme="minorHAnsi"/>
          <w:sz w:val="24"/>
          <w:szCs w:val="24"/>
        </w:rPr>
        <w:pict w14:anchorId="36429A50">
          <v:shape id="_x0000_i1027" type="#_x0000_t75" alt="Microsoft Office Signature Line..." style="width:194.4pt;height:93.6pt">
            <v:imagedata r:id="rId10" o:title=""/>
            <o:lock v:ext="edit" ungrouping="t" rotation="t" cropping="t" verticies="t" grouping="t"/>
            <o:signatureline v:ext="edit" id="{94798CD4-9144-4994-ABF8-7BA962F290B3}" provid="{00000000-0000-0000-0000-000000000000}" issignatureline="t"/>
          </v:shape>
        </w:pict>
      </w:r>
    </w:p>
    <w:p w14:paraId="609BD0A0" w14:textId="77777777" w:rsidR="00C7057A" w:rsidRPr="002F5030" w:rsidRDefault="004E2074" w:rsidP="00C7057A">
      <w:pPr>
        <w:rPr>
          <w:rFonts w:asciiTheme="minorHAnsi" w:hAnsiTheme="minorHAnsi" w:cstheme="minorHAnsi"/>
          <w:sz w:val="24"/>
          <w:szCs w:val="24"/>
        </w:rPr>
      </w:pPr>
      <w:r>
        <w:rPr>
          <w:rFonts w:asciiTheme="minorHAnsi" w:hAnsiTheme="minorHAnsi" w:cstheme="minorHAnsi"/>
          <w:sz w:val="24"/>
          <w:szCs w:val="24"/>
        </w:rPr>
        <w:pict w14:anchorId="3426B9C4">
          <v:shape id="_x0000_i1028" type="#_x0000_t75" alt="Microsoft Office Signature Line..." style="width:194.4pt;height:93.6pt">
            <v:imagedata r:id="rId9" o:title=""/>
            <o:lock v:ext="edit" ungrouping="t" rotation="t" cropping="t" verticies="t" grouping="t"/>
            <o:signatureline v:ext="edit" id="{52BDE186-A789-474E-A45A-4D5D06D1AC65}" provid="{00000000-0000-0000-0000-000000000000}" issignatureline="t"/>
          </v:shape>
        </w:pict>
      </w:r>
    </w:p>
    <w:p w14:paraId="549F62EA" w14:textId="77777777" w:rsidR="00C7057A" w:rsidRPr="002F5030" w:rsidRDefault="00C7057A" w:rsidP="00390DF8">
      <w:pPr>
        <w:rPr>
          <w:rFonts w:asciiTheme="minorHAnsi" w:hAnsiTheme="minorHAnsi" w:cstheme="minorHAnsi"/>
          <w:sz w:val="24"/>
          <w:szCs w:val="24"/>
        </w:rPr>
      </w:pPr>
    </w:p>
    <w:sectPr w:rsidR="00C7057A" w:rsidRPr="002F503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3A4C8" w14:textId="77777777" w:rsidR="0085178F" w:rsidRDefault="0085178F" w:rsidP="00390DF8">
      <w:r>
        <w:separator/>
      </w:r>
    </w:p>
  </w:endnote>
  <w:endnote w:type="continuationSeparator" w:id="0">
    <w:p w14:paraId="4DD84B6A" w14:textId="77777777" w:rsidR="0085178F" w:rsidRDefault="0085178F" w:rsidP="0039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B6779" w14:textId="77777777" w:rsidR="0085178F" w:rsidRDefault="0085178F" w:rsidP="00390DF8">
      <w:r>
        <w:separator/>
      </w:r>
    </w:p>
  </w:footnote>
  <w:footnote w:type="continuationSeparator" w:id="0">
    <w:p w14:paraId="7D8DE1EE" w14:textId="77777777" w:rsidR="0085178F" w:rsidRDefault="0085178F" w:rsidP="0039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614CF" w14:textId="7ED7F257" w:rsidR="00390DF8" w:rsidRPr="004A14AC" w:rsidRDefault="00390DF8">
    <w:pPr>
      <w:pStyle w:val="Header"/>
      <w:rPr>
        <w:rFonts w:asciiTheme="majorHAnsi" w:eastAsiaTheme="majorEastAsia" w:hAnsiTheme="majorHAnsi" w:cstheme="majorBidi"/>
        <w:b/>
        <w:sz w:val="24"/>
        <w:szCs w:val="22"/>
      </w:rPr>
    </w:pPr>
    <w:r w:rsidRPr="00390DF8">
      <w:rPr>
        <w:rFonts w:asciiTheme="majorHAnsi" w:eastAsiaTheme="majorEastAsia" w:hAnsiTheme="majorHAnsi" w:cstheme="majorBidi"/>
        <w:b/>
        <w:sz w:val="24"/>
        <w:szCs w:val="22"/>
      </w:rPr>
      <w:t>Medford WWTP</w:t>
    </w:r>
    <w:r w:rsidR="00055B51">
      <w:rPr>
        <w:rFonts w:asciiTheme="majorHAnsi" w:eastAsiaTheme="majorEastAsia" w:hAnsiTheme="majorHAnsi" w:cstheme="majorBidi"/>
        <w:b/>
        <w:sz w:val="24"/>
        <w:szCs w:val="22"/>
      </w:rPr>
      <w:t xml:space="preserve"> </w:t>
    </w:r>
    <w:r w:rsidR="00055B51" w:rsidRPr="00055B51">
      <w:rPr>
        <w:rFonts w:asciiTheme="majorHAnsi" w:eastAsiaTheme="majorEastAsia" w:hAnsiTheme="majorHAnsi" w:cstheme="majorBidi"/>
        <w:b/>
        <w:i/>
        <w:iCs/>
        <w:sz w:val="24"/>
        <w:szCs w:val="22"/>
      </w:rPr>
      <w:t>E. coli</w:t>
    </w:r>
    <w:r w:rsidRPr="00390DF8">
      <w:rPr>
        <w:rFonts w:asciiTheme="majorHAnsi" w:eastAsiaTheme="majorEastAsia" w:hAnsiTheme="majorHAnsi" w:cstheme="majorBidi"/>
        <w:b/>
        <w:sz w:val="24"/>
        <w:szCs w:val="22"/>
      </w:rPr>
      <w:t xml:space="preserve"> SOP: M</w:t>
    </w:r>
    <w:r w:rsidR="007E6847">
      <w:rPr>
        <w:rFonts w:asciiTheme="majorHAnsi" w:eastAsiaTheme="majorEastAsia" w:hAnsiTheme="majorHAnsi" w:cstheme="majorBidi"/>
        <w:b/>
        <w:sz w:val="24"/>
        <w:szCs w:val="22"/>
      </w:rPr>
      <w:t xml:space="preserve">ethod Reference: </w:t>
    </w:r>
    <w:r w:rsidR="00055B51">
      <w:rPr>
        <w:rFonts w:asciiTheme="majorHAnsi" w:eastAsiaTheme="majorEastAsia" w:hAnsiTheme="majorHAnsi" w:cstheme="majorBidi"/>
        <w:b/>
        <w:sz w:val="24"/>
        <w:szCs w:val="22"/>
      </w:rPr>
      <w:t>SM9223</w:t>
    </w:r>
    <w:r w:rsidR="004A14AC">
      <w:rPr>
        <w:rFonts w:asciiTheme="majorHAnsi" w:eastAsiaTheme="majorEastAsia" w:hAnsiTheme="majorHAnsi" w:cstheme="majorBidi"/>
        <w:b/>
        <w:sz w:val="24"/>
        <w:szCs w:val="22"/>
      </w:rPr>
      <w:t>-</w:t>
    </w:r>
    <w:r w:rsidR="00055B51">
      <w:rPr>
        <w:rFonts w:asciiTheme="majorHAnsi" w:eastAsiaTheme="majorEastAsia" w:hAnsiTheme="majorHAnsi" w:cstheme="majorBidi"/>
        <w:b/>
        <w:sz w:val="24"/>
        <w:szCs w:val="22"/>
      </w:rPr>
      <w:t>B</w:t>
    </w:r>
    <w:r w:rsidR="004A14AC">
      <w:rPr>
        <w:rFonts w:asciiTheme="majorHAnsi" w:eastAsiaTheme="majorEastAsia" w:hAnsiTheme="majorHAnsi" w:cstheme="majorBidi"/>
        <w:b/>
        <w:sz w:val="24"/>
        <w:szCs w:val="22"/>
      </w:rPr>
      <w:t>-2016</w:t>
    </w:r>
    <w:r w:rsidR="007E6847">
      <w:rPr>
        <w:rFonts w:asciiTheme="majorHAnsi" w:eastAsiaTheme="majorEastAsia" w:hAnsiTheme="majorHAnsi" w:cstheme="majorBidi"/>
        <w:b/>
        <w:sz w:val="24"/>
        <w:szCs w:val="22"/>
      </w:rPr>
      <w:t xml:space="preserve"> </w:t>
    </w:r>
    <w:r w:rsidR="00211D7A">
      <w:rPr>
        <w:rFonts w:asciiTheme="majorHAnsi" w:eastAsiaTheme="majorEastAsia" w:hAnsiTheme="majorHAnsi" w:cstheme="majorBidi"/>
        <w:b/>
        <w:sz w:val="24"/>
        <w:szCs w:val="22"/>
      </w:rPr>
      <w:tab/>
      <w:t xml:space="preserve">Page </w:t>
    </w:r>
    <w:r w:rsidR="00211D7A">
      <w:rPr>
        <w:rFonts w:asciiTheme="majorHAnsi" w:eastAsiaTheme="majorEastAsia" w:hAnsiTheme="majorHAnsi" w:cstheme="majorBidi"/>
        <w:b/>
        <w:sz w:val="24"/>
        <w:szCs w:val="22"/>
      </w:rPr>
      <w:fldChar w:fldCharType="begin"/>
    </w:r>
    <w:r w:rsidR="00211D7A">
      <w:rPr>
        <w:rFonts w:asciiTheme="majorHAnsi" w:eastAsiaTheme="majorEastAsia" w:hAnsiTheme="majorHAnsi" w:cstheme="majorBidi"/>
        <w:b/>
        <w:sz w:val="24"/>
        <w:szCs w:val="22"/>
      </w:rPr>
      <w:instrText xml:space="preserve"> PAGE   \* MERGEFORMAT </w:instrText>
    </w:r>
    <w:r w:rsidR="00211D7A">
      <w:rPr>
        <w:rFonts w:asciiTheme="majorHAnsi" w:eastAsiaTheme="majorEastAsia" w:hAnsiTheme="majorHAnsi" w:cstheme="majorBidi"/>
        <w:b/>
        <w:sz w:val="24"/>
        <w:szCs w:val="22"/>
      </w:rPr>
      <w:fldChar w:fldCharType="separate"/>
    </w:r>
    <w:r w:rsidR="001A0EC3">
      <w:rPr>
        <w:rFonts w:asciiTheme="majorHAnsi" w:eastAsiaTheme="majorEastAsia" w:hAnsiTheme="majorHAnsi" w:cstheme="majorBidi"/>
        <w:b/>
        <w:noProof/>
        <w:sz w:val="24"/>
        <w:szCs w:val="22"/>
      </w:rPr>
      <w:t>1</w:t>
    </w:r>
    <w:r w:rsidR="00211D7A">
      <w:rPr>
        <w:rFonts w:asciiTheme="majorHAnsi" w:eastAsiaTheme="majorEastAsia" w:hAnsiTheme="majorHAnsi" w:cstheme="majorBidi"/>
        <w:b/>
        <w:sz w:val="24"/>
        <w:szCs w:val="22"/>
      </w:rPr>
      <w:fldChar w:fldCharType="end"/>
    </w:r>
  </w:p>
  <w:p w14:paraId="5548FE3F" w14:textId="77777777" w:rsidR="00390DF8" w:rsidRPr="00211D7A" w:rsidRDefault="00211D7A">
    <w:pPr>
      <w:pStyle w:val="Header"/>
      <w:rPr>
        <w:b/>
      </w:rPr>
    </w:pPr>
    <w:r w:rsidRPr="00211D7A">
      <w:rPr>
        <w:b/>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3477"/>
    <w:multiLevelType w:val="hybridMultilevel"/>
    <w:tmpl w:val="DFEACC22"/>
    <w:lvl w:ilvl="0" w:tplc="E84C440C">
      <w:start w:val="1"/>
      <w:numFmt w:val="bullet"/>
      <w:lvlText w:val="o"/>
      <w:lvlJc w:val="left"/>
      <w:pPr>
        <w:tabs>
          <w:tab w:val="num" w:pos="2520"/>
        </w:tabs>
        <w:ind w:left="2520" w:hanging="360"/>
      </w:pPr>
      <w:rPr>
        <w:rFonts w:ascii="Courier New" w:hAnsi="Courier New" w:hint="default"/>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232D412F"/>
    <w:multiLevelType w:val="hybridMultilevel"/>
    <w:tmpl w:val="7B8E85BA"/>
    <w:lvl w:ilvl="0" w:tplc="A580CCB0">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2198E"/>
    <w:multiLevelType w:val="multilevel"/>
    <w:tmpl w:val="368AA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E4299"/>
    <w:multiLevelType w:val="hybridMultilevel"/>
    <w:tmpl w:val="FC84E49A"/>
    <w:lvl w:ilvl="0" w:tplc="E84C440C">
      <w:start w:val="1"/>
      <w:numFmt w:val="bullet"/>
      <w:lvlText w:val="o"/>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070473"/>
    <w:multiLevelType w:val="multilevel"/>
    <w:tmpl w:val="F56A7882"/>
    <w:lvl w:ilvl="0">
      <w:start w:val="1"/>
      <w:numFmt w:val="decimal"/>
      <w:pStyle w:val="10SOP"/>
      <w:lvlText w:val="%1.0"/>
      <w:lvlJc w:val="left"/>
      <w:pPr>
        <w:tabs>
          <w:tab w:val="num" w:pos="720"/>
        </w:tabs>
        <w:ind w:left="720" w:hanging="720"/>
      </w:pPr>
      <w:rPr>
        <w:rFonts w:ascii="Arial" w:hAnsi="Arial" w:cs="Times New Roman" w:hint="default"/>
        <w:b/>
        <w:i w:val="0"/>
        <w:sz w:val="22"/>
      </w:rPr>
    </w:lvl>
    <w:lvl w:ilvl="1">
      <w:start w:val="1"/>
      <w:numFmt w:val="decimal"/>
      <w:pStyle w:val="11SOP"/>
      <w:lvlText w:val="%1.%2"/>
      <w:lvlJc w:val="left"/>
      <w:pPr>
        <w:tabs>
          <w:tab w:val="num" w:pos="1440"/>
        </w:tabs>
        <w:ind w:left="1440" w:hanging="720"/>
      </w:pPr>
      <w:rPr>
        <w:rFonts w:ascii="Arial" w:hAnsi="Arial" w:cs="Times New Roman" w:hint="default"/>
        <w:b/>
        <w:i w:val="0"/>
        <w:sz w:val="22"/>
      </w:rPr>
    </w:lvl>
    <w:lvl w:ilvl="2">
      <w:start w:val="1"/>
      <w:numFmt w:val="decimal"/>
      <w:pStyle w:val="111SOP"/>
      <w:lvlText w:val="%1.%2.%3."/>
      <w:lvlJc w:val="left"/>
      <w:pPr>
        <w:tabs>
          <w:tab w:val="num" w:pos="2520"/>
        </w:tabs>
        <w:ind w:left="2520" w:hanging="1080"/>
      </w:pPr>
      <w:rPr>
        <w:rFonts w:ascii="Arial" w:hAnsi="Arial" w:cs="Times New Roman" w:hint="default"/>
        <w:b/>
        <w:i w:val="0"/>
        <w:sz w:val="22"/>
      </w:rPr>
    </w:lvl>
    <w:lvl w:ilvl="3">
      <w:start w:val="1"/>
      <w:numFmt w:val="decimal"/>
      <w:pStyle w:val="1111SOP"/>
      <w:lvlText w:val="%1.%2.%3.%4."/>
      <w:lvlJc w:val="left"/>
      <w:pPr>
        <w:tabs>
          <w:tab w:val="num" w:pos="3600"/>
        </w:tabs>
        <w:ind w:left="3600" w:hanging="1080"/>
      </w:pPr>
      <w:rPr>
        <w:rFonts w:ascii="Arial" w:hAnsi="Arial" w:cs="Times New Roman" w:hint="default"/>
        <w:b/>
        <w:i w:val="0"/>
        <w:sz w:val="22"/>
      </w:rPr>
    </w:lvl>
    <w:lvl w:ilvl="4">
      <w:start w:val="1"/>
      <w:numFmt w:val="decimal"/>
      <w:pStyle w:val="11111SOP"/>
      <w:lvlText w:val="%1.%2.%3.%4.%5."/>
      <w:lvlJc w:val="left"/>
      <w:pPr>
        <w:tabs>
          <w:tab w:val="num" w:pos="4680"/>
        </w:tabs>
        <w:ind w:left="4680" w:hanging="1080"/>
      </w:pPr>
      <w:rPr>
        <w:rFonts w:ascii="Arial" w:hAnsi="Arial" w:cs="Times New Roman" w:hint="default"/>
        <w:b/>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FE5A10"/>
    <w:multiLevelType w:val="hybridMultilevel"/>
    <w:tmpl w:val="AA9EE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F161A7"/>
    <w:multiLevelType w:val="multilevel"/>
    <w:tmpl w:val="FA16B3A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EA4165"/>
    <w:multiLevelType w:val="hybridMultilevel"/>
    <w:tmpl w:val="1C1E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F5E4C"/>
    <w:multiLevelType w:val="multilevel"/>
    <w:tmpl w:val="E716E0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EFF4A0E"/>
    <w:multiLevelType w:val="multilevel"/>
    <w:tmpl w:val="C61A8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F227D6F"/>
    <w:multiLevelType w:val="hybridMultilevel"/>
    <w:tmpl w:val="8D1E2F30"/>
    <w:lvl w:ilvl="0" w:tplc="EF4CE91E">
      <w:start w:val="9"/>
      <w:numFmt w:val="decimal"/>
      <w:lvlText w:val="%1)"/>
      <w:lvlJc w:val="left"/>
      <w:pPr>
        <w:tabs>
          <w:tab w:val="num" w:pos="360"/>
        </w:tabs>
        <w:ind w:left="360" w:hanging="360"/>
      </w:pPr>
      <w:rPr>
        <w:b/>
      </w:rPr>
    </w:lvl>
    <w:lvl w:ilvl="1" w:tplc="95EAB80C">
      <w:start w:val="1"/>
      <w:numFmt w:val="lowerLetter"/>
      <w:lvlText w:val="%2)"/>
      <w:lvlJc w:val="left"/>
      <w:pPr>
        <w:tabs>
          <w:tab w:val="num" w:pos="900"/>
        </w:tabs>
        <w:ind w:left="900" w:hanging="360"/>
      </w:pPr>
      <w:rPr>
        <w:rFonts w:ascii="Arial" w:eastAsia="Times New Roman" w:hAnsi="Arial" w:cs="Times New Roman"/>
        <w:b w:val="0"/>
      </w:r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6"/>
  </w:num>
  <w:num w:numId="8">
    <w:abstractNumId w:val="5"/>
  </w:num>
  <w:num w:numId="9">
    <w:abstractNumId w:val="7"/>
  </w:num>
  <w:num w:numId="10">
    <w:abstractNumId w:val="3"/>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DF8"/>
    <w:rsid w:val="00055B51"/>
    <w:rsid w:val="000742E5"/>
    <w:rsid w:val="0007450D"/>
    <w:rsid w:val="000A6DDA"/>
    <w:rsid w:val="000A7DA4"/>
    <w:rsid w:val="000C260E"/>
    <w:rsid w:val="00121403"/>
    <w:rsid w:val="00146A41"/>
    <w:rsid w:val="00181A40"/>
    <w:rsid w:val="00181F30"/>
    <w:rsid w:val="001A0EC3"/>
    <w:rsid w:val="001B3EFB"/>
    <w:rsid w:val="001C51A3"/>
    <w:rsid w:val="00211D7A"/>
    <w:rsid w:val="00212997"/>
    <w:rsid w:val="002137F8"/>
    <w:rsid w:val="0025785A"/>
    <w:rsid w:val="0027528E"/>
    <w:rsid w:val="002848EC"/>
    <w:rsid w:val="002911B4"/>
    <w:rsid w:val="002D4BA7"/>
    <w:rsid w:val="002F5030"/>
    <w:rsid w:val="00325DC6"/>
    <w:rsid w:val="00350780"/>
    <w:rsid w:val="0035315F"/>
    <w:rsid w:val="00361615"/>
    <w:rsid w:val="00373743"/>
    <w:rsid w:val="00387104"/>
    <w:rsid w:val="00390DF8"/>
    <w:rsid w:val="00390E97"/>
    <w:rsid w:val="003A2A60"/>
    <w:rsid w:val="003B68E4"/>
    <w:rsid w:val="003E5D95"/>
    <w:rsid w:val="004055E9"/>
    <w:rsid w:val="00432EAF"/>
    <w:rsid w:val="004561A9"/>
    <w:rsid w:val="0046735C"/>
    <w:rsid w:val="004A14AC"/>
    <w:rsid w:val="004A1E9C"/>
    <w:rsid w:val="004A4F61"/>
    <w:rsid w:val="004E2074"/>
    <w:rsid w:val="004F1F78"/>
    <w:rsid w:val="005145DD"/>
    <w:rsid w:val="00574A09"/>
    <w:rsid w:val="005A5F7D"/>
    <w:rsid w:val="005E1891"/>
    <w:rsid w:val="00602BDD"/>
    <w:rsid w:val="00615902"/>
    <w:rsid w:val="006211FD"/>
    <w:rsid w:val="00626F62"/>
    <w:rsid w:val="006366B3"/>
    <w:rsid w:val="00653A0F"/>
    <w:rsid w:val="00671D96"/>
    <w:rsid w:val="00675506"/>
    <w:rsid w:val="006A7B5A"/>
    <w:rsid w:val="006B0A35"/>
    <w:rsid w:val="006F4C43"/>
    <w:rsid w:val="006F4D7B"/>
    <w:rsid w:val="0071158A"/>
    <w:rsid w:val="00715C11"/>
    <w:rsid w:val="00734B96"/>
    <w:rsid w:val="007711CD"/>
    <w:rsid w:val="007A2A3F"/>
    <w:rsid w:val="007C507F"/>
    <w:rsid w:val="007E6847"/>
    <w:rsid w:val="00825042"/>
    <w:rsid w:val="0084088B"/>
    <w:rsid w:val="0085178F"/>
    <w:rsid w:val="00852A1E"/>
    <w:rsid w:val="00856605"/>
    <w:rsid w:val="0088221C"/>
    <w:rsid w:val="008D73E3"/>
    <w:rsid w:val="00901325"/>
    <w:rsid w:val="00935164"/>
    <w:rsid w:val="0094637C"/>
    <w:rsid w:val="0095733C"/>
    <w:rsid w:val="009628FC"/>
    <w:rsid w:val="00973CE2"/>
    <w:rsid w:val="009831D8"/>
    <w:rsid w:val="0098568C"/>
    <w:rsid w:val="009903A0"/>
    <w:rsid w:val="009D2380"/>
    <w:rsid w:val="009E170C"/>
    <w:rsid w:val="00A70870"/>
    <w:rsid w:val="00AA691C"/>
    <w:rsid w:val="00AC51B5"/>
    <w:rsid w:val="00AF1327"/>
    <w:rsid w:val="00B2260D"/>
    <w:rsid w:val="00B301F1"/>
    <w:rsid w:val="00B32074"/>
    <w:rsid w:val="00B92C2B"/>
    <w:rsid w:val="00BA704A"/>
    <w:rsid w:val="00BB2719"/>
    <w:rsid w:val="00BD1EF9"/>
    <w:rsid w:val="00BF2DE6"/>
    <w:rsid w:val="00C00D52"/>
    <w:rsid w:val="00C2002B"/>
    <w:rsid w:val="00C5492A"/>
    <w:rsid w:val="00C7057A"/>
    <w:rsid w:val="00C866B6"/>
    <w:rsid w:val="00C964B7"/>
    <w:rsid w:val="00CC51A5"/>
    <w:rsid w:val="00CD25F7"/>
    <w:rsid w:val="00CD4470"/>
    <w:rsid w:val="00CE3755"/>
    <w:rsid w:val="00D13388"/>
    <w:rsid w:val="00D474DE"/>
    <w:rsid w:val="00D8759B"/>
    <w:rsid w:val="00DB3BAA"/>
    <w:rsid w:val="00DB7479"/>
    <w:rsid w:val="00DC53A9"/>
    <w:rsid w:val="00DF1B1C"/>
    <w:rsid w:val="00E527EA"/>
    <w:rsid w:val="00E7576B"/>
    <w:rsid w:val="00E8388A"/>
    <w:rsid w:val="00E90367"/>
    <w:rsid w:val="00E925AE"/>
    <w:rsid w:val="00EC1002"/>
    <w:rsid w:val="00ED6074"/>
    <w:rsid w:val="00EF08CA"/>
    <w:rsid w:val="00F03010"/>
    <w:rsid w:val="00F05961"/>
    <w:rsid w:val="00F13815"/>
    <w:rsid w:val="00F31888"/>
    <w:rsid w:val="00F43035"/>
    <w:rsid w:val="00F53E63"/>
    <w:rsid w:val="00FB483D"/>
    <w:rsid w:val="00FB631F"/>
    <w:rsid w:val="00FF1F3A"/>
    <w:rsid w:val="00F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B9D6D"/>
  <w15:docId w15:val="{E49E7FE8-6EEC-4B93-AB13-1DDC792E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F8"/>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0DF8"/>
    <w:pPr>
      <w:widowControl/>
      <w:jc w:val="center"/>
    </w:pPr>
    <w:rPr>
      <w:b/>
      <w:i/>
      <w:sz w:val="28"/>
      <w:u w:val="single"/>
    </w:rPr>
  </w:style>
  <w:style w:type="character" w:customStyle="1" w:styleId="TitleChar">
    <w:name w:val="Title Char"/>
    <w:basedOn w:val="DefaultParagraphFont"/>
    <w:link w:val="Title"/>
    <w:rsid w:val="00390DF8"/>
    <w:rPr>
      <w:rFonts w:ascii="Times New Roman" w:eastAsia="Times New Roman" w:hAnsi="Times New Roman" w:cs="Times New Roman"/>
      <w:b/>
      <w:i/>
      <w:sz w:val="28"/>
      <w:szCs w:val="20"/>
      <w:u w:val="single"/>
    </w:rPr>
  </w:style>
  <w:style w:type="paragraph" w:customStyle="1" w:styleId="10SOP">
    <w:name w:val="1.0 (SOP)"/>
    <w:basedOn w:val="Normal"/>
    <w:rsid w:val="00390DF8"/>
    <w:pPr>
      <w:keepNext/>
      <w:widowControl/>
      <w:numPr>
        <w:numId w:val="1"/>
      </w:numPr>
      <w:spacing w:after="240"/>
      <w:outlineLvl w:val="0"/>
    </w:pPr>
    <w:rPr>
      <w:rFonts w:ascii="Arial" w:hAnsi="Arial"/>
      <w:b/>
      <w:sz w:val="22"/>
    </w:rPr>
  </w:style>
  <w:style w:type="paragraph" w:customStyle="1" w:styleId="11SOP">
    <w:name w:val="1.1 (SOP)"/>
    <w:basedOn w:val="Normal"/>
    <w:rsid w:val="00390DF8"/>
    <w:pPr>
      <w:widowControl/>
      <w:numPr>
        <w:ilvl w:val="1"/>
        <w:numId w:val="1"/>
      </w:numPr>
      <w:spacing w:after="240"/>
      <w:outlineLvl w:val="1"/>
    </w:pPr>
    <w:rPr>
      <w:rFonts w:ascii="Arial" w:hAnsi="Arial"/>
      <w:sz w:val="22"/>
    </w:rPr>
  </w:style>
  <w:style w:type="paragraph" w:customStyle="1" w:styleId="111SOP">
    <w:name w:val="1.1.1 (SOP)"/>
    <w:basedOn w:val="Normal"/>
    <w:rsid w:val="00390DF8"/>
    <w:pPr>
      <w:widowControl/>
      <w:numPr>
        <w:ilvl w:val="2"/>
        <w:numId w:val="1"/>
      </w:numPr>
      <w:spacing w:after="240"/>
      <w:outlineLvl w:val="2"/>
    </w:pPr>
    <w:rPr>
      <w:rFonts w:ascii="Arial" w:hAnsi="Arial"/>
      <w:sz w:val="22"/>
    </w:rPr>
  </w:style>
  <w:style w:type="paragraph" w:customStyle="1" w:styleId="1111SOP">
    <w:name w:val="1.1.1.1 (SOP)"/>
    <w:basedOn w:val="Normal"/>
    <w:rsid w:val="00390DF8"/>
    <w:pPr>
      <w:widowControl/>
      <w:numPr>
        <w:ilvl w:val="3"/>
        <w:numId w:val="1"/>
      </w:numPr>
      <w:spacing w:after="240"/>
      <w:outlineLvl w:val="3"/>
    </w:pPr>
    <w:rPr>
      <w:rFonts w:ascii="Arial" w:hAnsi="Arial"/>
      <w:sz w:val="22"/>
    </w:rPr>
  </w:style>
  <w:style w:type="paragraph" w:customStyle="1" w:styleId="11111SOP">
    <w:name w:val="1.1.1.1.1 (SOP)"/>
    <w:basedOn w:val="Normal"/>
    <w:rsid w:val="00390DF8"/>
    <w:pPr>
      <w:widowControl/>
      <w:numPr>
        <w:ilvl w:val="4"/>
        <w:numId w:val="1"/>
      </w:numPr>
      <w:spacing w:after="240"/>
      <w:outlineLvl w:val="4"/>
    </w:pPr>
    <w:rPr>
      <w:rFonts w:ascii="Arial" w:hAnsi="Arial"/>
      <w:sz w:val="22"/>
    </w:rPr>
  </w:style>
  <w:style w:type="paragraph" w:styleId="ListParagraph">
    <w:name w:val="List Paragraph"/>
    <w:basedOn w:val="Normal"/>
    <w:uiPriority w:val="34"/>
    <w:qFormat/>
    <w:rsid w:val="00390DF8"/>
    <w:pPr>
      <w:ind w:left="720"/>
      <w:contextualSpacing/>
    </w:pPr>
  </w:style>
  <w:style w:type="paragraph" w:styleId="Header">
    <w:name w:val="header"/>
    <w:basedOn w:val="Normal"/>
    <w:link w:val="HeaderChar"/>
    <w:uiPriority w:val="99"/>
    <w:unhideWhenUsed/>
    <w:rsid w:val="00390DF8"/>
    <w:pPr>
      <w:tabs>
        <w:tab w:val="center" w:pos="4680"/>
        <w:tab w:val="right" w:pos="9360"/>
      </w:tabs>
    </w:pPr>
  </w:style>
  <w:style w:type="character" w:customStyle="1" w:styleId="HeaderChar">
    <w:name w:val="Header Char"/>
    <w:basedOn w:val="DefaultParagraphFont"/>
    <w:link w:val="Header"/>
    <w:uiPriority w:val="99"/>
    <w:rsid w:val="00390DF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0DF8"/>
    <w:pPr>
      <w:tabs>
        <w:tab w:val="center" w:pos="4680"/>
        <w:tab w:val="right" w:pos="9360"/>
      </w:tabs>
    </w:pPr>
  </w:style>
  <w:style w:type="character" w:customStyle="1" w:styleId="FooterChar">
    <w:name w:val="Footer Char"/>
    <w:basedOn w:val="DefaultParagraphFont"/>
    <w:link w:val="Footer"/>
    <w:uiPriority w:val="99"/>
    <w:rsid w:val="00390D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0DF8"/>
    <w:rPr>
      <w:rFonts w:ascii="Tahoma" w:hAnsi="Tahoma" w:cs="Tahoma"/>
      <w:sz w:val="16"/>
      <w:szCs w:val="16"/>
    </w:rPr>
  </w:style>
  <w:style w:type="character" w:customStyle="1" w:styleId="BalloonTextChar">
    <w:name w:val="Balloon Text Char"/>
    <w:basedOn w:val="DefaultParagraphFont"/>
    <w:link w:val="BalloonText"/>
    <w:uiPriority w:val="99"/>
    <w:semiHidden/>
    <w:rsid w:val="00390DF8"/>
    <w:rPr>
      <w:rFonts w:ascii="Tahoma" w:eastAsia="Times New Roman" w:hAnsi="Tahoma" w:cs="Tahoma"/>
      <w:sz w:val="16"/>
      <w:szCs w:val="16"/>
    </w:rPr>
  </w:style>
  <w:style w:type="paragraph" w:styleId="BodyTextIndent">
    <w:name w:val="Body Text Indent"/>
    <w:basedOn w:val="Normal"/>
    <w:link w:val="BodyTextIndentChar"/>
    <w:rsid w:val="006211FD"/>
    <w:pPr>
      <w:widowControl/>
      <w:ind w:left="1440" w:hanging="1440"/>
    </w:pPr>
    <w:rPr>
      <w:sz w:val="24"/>
    </w:rPr>
  </w:style>
  <w:style w:type="character" w:customStyle="1" w:styleId="BodyTextIndentChar">
    <w:name w:val="Body Text Indent Char"/>
    <w:basedOn w:val="DefaultParagraphFont"/>
    <w:link w:val="BodyTextIndent"/>
    <w:rsid w:val="006211FD"/>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514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154153">
      <w:bodyDiv w:val="1"/>
      <w:marLeft w:val="0"/>
      <w:marRight w:val="0"/>
      <w:marTop w:val="0"/>
      <w:marBottom w:val="0"/>
      <w:divBdr>
        <w:top w:val="none" w:sz="0" w:space="0" w:color="auto"/>
        <w:left w:val="none" w:sz="0" w:space="0" w:color="auto"/>
        <w:bottom w:val="none" w:sz="0" w:space="0" w:color="auto"/>
        <w:right w:val="none" w:sz="0" w:space="0" w:color="auto"/>
      </w:divBdr>
    </w:div>
    <w:div w:id="1080905741">
      <w:bodyDiv w:val="1"/>
      <w:marLeft w:val="0"/>
      <w:marRight w:val="0"/>
      <w:marTop w:val="0"/>
      <w:marBottom w:val="0"/>
      <w:divBdr>
        <w:top w:val="none" w:sz="0" w:space="0" w:color="auto"/>
        <w:left w:val="none" w:sz="0" w:space="0" w:color="auto"/>
        <w:bottom w:val="none" w:sz="0" w:space="0" w:color="auto"/>
        <w:right w:val="none" w:sz="0" w:space="0" w:color="auto"/>
      </w:divBdr>
    </w:div>
    <w:div w:id="1552884067">
      <w:bodyDiv w:val="1"/>
      <w:marLeft w:val="0"/>
      <w:marRight w:val="0"/>
      <w:marTop w:val="0"/>
      <w:marBottom w:val="0"/>
      <w:divBdr>
        <w:top w:val="none" w:sz="0" w:space="0" w:color="auto"/>
        <w:left w:val="none" w:sz="0" w:space="0" w:color="auto"/>
        <w:bottom w:val="none" w:sz="0" w:space="0" w:color="auto"/>
        <w:right w:val="none" w:sz="0" w:space="0" w:color="auto"/>
      </w:divBdr>
    </w:div>
    <w:div w:id="1677340040">
      <w:bodyDiv w:val="1"/>
      <w:marLeft w:val="0"/>
      <w:marRight w:val="0"/>
      <w:marTop w:val="0"/>
      <w:marBottom w:val="0"/>
      <w:divBdr>
        <w:top w:val="none" w:sz="0" w:space="0" w:color="auto"/>
        <w:left w:val="none" w:sz="0" w:space="0" w:color="auto"/>
        <w:bottom w:val="none" w:sz="0" w:space="0" w:color="auto"/>
        <w:right w:val="none" w:sz="0" w:space="0" w:color="auto"/>
      </w:divBdr>
    </w:div>
    <w:div w:id="20330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lingbeil@medfordwi.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7D94-1FE9-4A45-B409-ABDE8896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Medford</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Klingbeil</dc:creator>
  <cp:lastModifiedBy>Baker-Muhich, Brandy A - DNR</cp:lastModifiedBy>
  <cp:revision>8</cp:revision>
  <cp:lastPrinted>2019-02-28T15:57:00Z</cp:lastPrinted>
  <dcterms:created xsi:type="dcterms:W3CDTF">2021-02-09T20:51:00Z</dcterms:created>
  <dcterms:modified xsi:type="dcterms:W3CDTF">2021-09-21T16:05:00Z</dcterms:modified>
</cp:coreProperties>
</file>