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360" w:type="dxa"/>
        <w:tblInd w:w="-5" w:type="dxa"/>
        <w:tblLook w:val="04A0" w:firstRow="1" w:lastRow="0" w:firstColumn="1" w:lastColumn="0" w:noHBand="0" w:noVBand="1"/>
      </w:tblPr>
      <w:tblGrid>
        <w:gridCol w:w="2700"/>
        <w:gridCol w:w="6660"/>
      </w:tblGrid>
      <w:tr w:rsidR="00B71778" w:rsidRPr="00D26E23" w:rsidTr="00796F8F">
        <w:trPr>
          <w:trHeight w:val="611"/>
        </w:trPr>
        <w:tc>
          <w:tcPr>
            <w:tcW w:w="2700" w:type="dxa"/>
            <w:vAlign w:val="center"/>
          </w:tcPr>
          <w:p w:rsidR="00B71778" w:rsidRPr="00D26E23" w:rsidRDefault="00B71778" w:rsidP="00796F8F">
            <w:pPr>
              <w:pStyle w:val="BodyTextIndent"/>
              <w:ind w:left="0"/>
              <w:jc w:val="right"/>
              <w:rPr>
                <w:b/>
                <w:szCs w:val="22"/>
              </w:rPr>
            </w:pPr>
            <w:bookmarkStart w:id="0" w:name="_Hlk519697041"/>
            <w:r w:rsidRPr="00D26E23">
              <w:rPr>
                <w:b/>
                <w:szCs w:val="22"/>
              </w:rPr>
              <w:t>TITLE:</w:t>
            </w:r>
          </w:p>
        </w:tc>
        <w:tc>
          <w:tcPr>
            <w:tcW w:w="6660" w:type="dxa"/>
            <w:vAlign w:val="center"/>
          </w:tcPr>
          <w:p w:rsidR="00B71778" w:rsidRPr="00B71778" w:rsidRDefault="00B71778" w:rsidP="00796F8F">
            <w:pPr>
              <w:pStyle w:val="BodyTextIndent"/>
              <w:ind w:left="0"/>
              <w:rPr>
                <w:b/>
                <w:szCs w:val="22"/>
              </w:rPr>
            </w:pPr>
            <w:r w:rsidRPr="00B71778">
              <w:rPr>
                <w:b/>
              </w:rPr>
              <w:t xml:space="preserve">Total Suspended Solids Dried at 103 - </w:t>
            </w:r>
            <w:proofErr w:type="spellStart"/>
            <w:r w:rsidRPr="00B71778">
              <w:rPr>
                <w:b/>
              </w:rPr>
              <w:t>105ºC</w:t>
            </w:r>
            <w:proofErr w:type="spellEnd"/>
          </w:p>
        </w:tc>
      </w:tr>
      <w:tr w:rsidR="00B71778" w:rsidRPr="00D26E23" w:rsidTr="00796F8F">
        <w:trPr>
          <w:trHeight w:val="440"/>
        </w:trPr>
        <w:tc>
          <w:tcPr>
            <w:tcW w:w="2700" w:type="dxa"/>
            <w:vAlign w:val="center"/>
          </w:tcPr>
          <w:p w:rsidR="00B71778" w:rsidRPr="00D26E23" w:rsidRDefault="00B71778" w:rsidP="00796F8F">
            <w:pPr>
              <w:pStyle w:val="BodyTextIndent"/>
              <w:ind w:left="0"/>
              <w:jc w:val="right"/>
              <w:rPr>
                <w:b/>
                <w:szCs w:val="22"/>
              </w:rPr>
            </w:pPr>
            <w:r w:rsidRPr="00D26E23">
              <w:rPr>
                <w:b/>
                <w:szCs w:val="22"/>
              </w:rPr>
              <w:t>ANALYTE:</w:t>
            </w:r>
          </w:p>
        </w:tc>
        <w:tc>
          <w:tcPr>
            <w:tcW w:w="6660" w:type="dxa"/>
            <w:vAlign w:val="center"/>
          </w:tcPr>
          <w:p w:rsidR="00B71778" w:rsidRPr="009A36E9" w:rsidRDefault="009A36E9" w:rsidP="00796F8F">
            <w:pPr>
              <w:pStyle w:val="BodyTextIndent"/>
              <w:ind w:left="0"/>
              <w:rPr>
                <w:b/>
                <w:szCs w:val="22"/>
              </w:rPr>
            </w:pPr>
            <w:r w:rsidRPr="009A36E9">
              <w:rPr>
                <w:b/>
              </w:rPr>
              <w:t>Total Suspended Solids</w:t>
            </w:r>
          </w:p>
        </w:tc>
      </w:tr>
      <w:tr w:rsidR="00B71778" w:rsidRPr="00D26E23" w:rsidTr="00796F8F">
        <w:trPr>
          <w:trHeight w:val="440"/>
        </w:trPr>
        <w:tc>
          <w:tcPr>
            <w:tcW w:w="2700" w:type="dxa"/>
            <w:vAlign w:val="center"/>
          </w:tcPr>
          <w:p w:rsidR="00B71778" w:rsidRPr="00D26E23" w:rsidRDefault="00B71778" w:rsidP="00796F8F">
            <w:pPr>
              <w:pStyle w:val="BodyTextIndent"/>
              <w:ind w:left="0"/>
              <w:jc w:val="right"/>
              <w:rPr>
                <w:b/>
                <w:szCs w:val="22"/>
              </w:rPr>
            </w:pPr>
            <w:r w:rsidRPr="00D26E23">
              <w:rPr>
                <w:b/>
                <w:szCs w:val="22"/>
              </w:rPr>
              <w:t>FACILITY:</w:t>
            </w:r>
          </w:p>
        </w:tc>
        <w:tc>
          <w:tcPr>
            <w:tcW w:w="6660" w:type="dxa"/>
            <w:vAlign w:val="center"/>
          </w:tcPr>
          <w:p w:rsidR="00B71778" w:rsidRPr="00D26E23" w:rsidRDefault="00B71778" w:rsidP="00796F8F">
            <w:pPr>
              <w:pStyle w:val="BodyTextIndent"/>
              <w:ind w:left="0"/>
              <w:rPr>
                <w:b/>
                <w:szCs w:val="22"/>
              </w:rPr>
            </w:pPr>
            <w:r w:rsidRPr="00D26E23">
              <w:rPr>
                <w:b/>
                <w:szCs w:val="22"/>
              </w:rPr>
              <w:t>Acme WWTP</w:t>
            </w:r>
          </w:p>
        </w:tc>
      </w:tr>
      <w:tr w:rsidR="00B71778" w:rsidRPr="00D26E23" w:rsidTr="00796F8F">
        <w:trPr>
          <w:trHeight w:val="449"/>
        </w:trPr>
        <w:tc>
          <w:tcPr>
            <w:tcW w:w="2700" w:type="dxa"/>
            <w:vAlign w:val="center"/>
          </w:tcPr>
          <w:p w:rsidR="00B71778" w:rsidRPr="00D26E23" w:rsidRDefault="00B71778" w:rsidP="00796F8F">
            <w:pPr>
              <w:pStyle w:val="BodyTextIndent"/>
              <w:ind w:left="0"/>
              <w:jc w:val="right"/>
              <w:rPr>
                <w:b/>
                <w:szCs w:val="22"/>
              </w:rPr>
            </w:pPr>
            <w:r w:rsidRPr="00D26E23">
              <w:rPr>
                <w:b/>
                <w:szCs w:val="22"/>
              </w:rPr>
              <w:t>REFERENCE METHOD:</w:t>
            </w:r>
          </w:p>
        </w:tc>
        <w:tc>
          <w:tcPr>
            <w:tcW w:w="6660" w:type="dxa"/>
            <w:vAlign w:val="center"/>
          </w:tcPr>
          <w:p w:rsidR="00B71778" w:rsidRPr="00D26E23" w:rsidRDefault="00B71778" w:rsidP="00796F8F">
            <w:pPr>
              <w:pStyle w:val="BodyTextIndent"/>
              <w:ind w:left="0"/>
              <w:rPr>
                <w:b/>
                <w:szCs w:val="22"/>
              </w:rPr>
            </w:pPr>
            <w:r w:rsidRPr="00D26E23">
              <w:rPr>
                <w:b/>
                <w:szCs w:val="22"/>
                <w:u w:val="single"/>
              </w:rPr>
              <w:t>Standard Methods</w:t>
            </w:r>
            <w:r w:rsidRPr="00D26E23">
              <w:rPr>
                <w:b/>
                <w:szCs w:val="22"/>
              </w:rPr>
              <w:t xml:space="preserve"> </w:t>
            </w:r>
            <w:r w:rsidR="009A36E9">
              <w:rPr>
                <w:b/>
                <w:bCs/>
              </w:rPr>
              <w:t>2540 D – 1997</w:t>
            </w:r>
          </w:p>
        </w:tc>
      </w:tr>
      <w:tr w:rsidR="00B71778" w:rsidRPr="00D26E23" w:rsidTr="00796F8F">
        <w:trPr>
          <w:trHeight w:val="521"/>
        </w:trPr>
        <w:tc>
          <w:tcPr>
            <w:tcW w:w="2700" w:type="dxa"/>
            <w:vAlign w:val="center"/>
          </w:tcPr>
          <w:p w:rsidR="00B71778" w:rsidRPr="00D26E23" w:rsidRDefault="00B71778" w:rsidP="00796F8F">
            <w:pPr>
              <w:pStyle w:val="BodyTextIndent"/>
              <w:ind w:left="0"/>
              <w:jc w:val="right"/>
              <w:rPr>
                <w:b/>
                <w:szCs w:val="22"/>
              </w:rPr>
            </w:pPr>
            <w:r w:rsidRPr="00D26E23">
              <w:rPr>
                <w:b/>
                <w:szCs w:val="22"/>
              </w:rPr>
              <w:t>DATE OF ISSUE:</w:t>
            </w:r>
          </w:p>
        </w:tc>
        <w:tc>
          <w:tcPr>
            <w:tcW w:w="6660" w:type="dxa"/>
            <w:vAlign w:val="center"/>
          </w:tcPr>
          <w:p w:rsidR="00B71778" w:rsidRPr="00D26E23" w:rsidRDefault="00B71778" w:rsidP="00796F8F">
            <w:pPr>
              <w:pStyle w:val="BodyTextIndent"/>
              <w:ind w:left="0"/>
              <w:rPr>
                <w:b/>
                <w:szCs w:val="22"/>
              </w:rPr>
            </w:pPr>
            <w:r w:rsidRPr="00D26E23">
              <w:rPr>
                <w:b/>
                <w:szCs w:val="22"/>
              </w:rPr>
              <w:t>7/18/18</w:t>
            </w:r>
          </w:p>
        </w:tc>
      </w:tr>
      <w:bookmarkEnd w:id="0"/>
    </w:tbl>
    <w:p w:rsidR="009A36E9" w:rsidRDefault="009A36E9" w:rsidP="009A36E9">
      <w:pPr>
        <w:pStyle w:val="10SOP"/>
        <w:numPr>
          <w:ilvl w:val="0"/>
          <w:numId w:val="0"/>
        </w:numPr>
        <w:ind w:left="720"/>
      </w:pPr>
    </w:p>
    <w:p w:rsidR="00F609CE" w:rsidRDefault="00F609CE" w:rsidP="00F609CE">
      <w:pPr>
        <w:pStyle w:val="10SOP"/>
      </w:pPr>
      <w:r>
        <w:t>Applicable Matrices</w:t>
      </w:r>
    </w:p>
    <w:p w:rsidR="00F609CE" w:rsidRDefault="00F609CE" w:rsidP="00F609CE">
      <w:pPr>
        <w:pStyle w:val="11SOP"/>
      </w:pPr>
      <w:r>
        <w:t>This method is applicable to drinking, surface,</w:t>
      </w:r>
      <w:r w:rsidR="00FD0F20">
        <w:t xml:space="preserve"> </w:t>
      </w:r>
      <w:r w:rsidR="00723F94">
        <w:t xml:space="preserve">and saline waters as well as </w:t>
      </w:r>
      <w:r w:rsidR="00FD0F20">
        <w:t>domestic and industrial waste matrices</w:t>
      </w:r>
      <w:r>
        <w:t>.</w:t>
      </w:r>
    </w:p>
    <w:p w:rsidR="00FC78FF" w:rsidRDefault="00FC78FF" w:rsidP="00FC78FF">
      <w:pPr>
        <w:pStyle w:val="10SOP"/>
      </w:pPr>
      <w:r>
        <w:t>Summary of the Test Method</w:t>
      </w:r>
    </w:p>
    <w:p w:rsidR="00FC78FF" w:rsidRDefault="00FC78FF" w:rsidP="00FC78FF">
      <w:pPr>
        <w:pStyle w:val="11SOP"/>
      </w:pPr>
      <w:r>
        <w:t>A well-mixed sample is filtered through a weighed standard glass-fiber filter, which is then dried to constant weight at 103</w:t>
      </w:r>
      <w:r w:rsidR="0060430D">
        <w:t xml:space="preserve"> </w:t>
      </w:r>
      <w:r>
        <w:t>-</w:t>
      </w:r>
      <w:r w:rsidR="0060430D">
        <w:t xml:space="preserve"> </w:t>
      </w:r>
      <w:proofErr w:type="spellStart"/>
      <w:r>
        <w:t>105ºC</w:t>
      </w:r>
      <w:proofErr w:type="spellEnd"/>
      <w:r>
        <w:t>. The increase in weight of the filter represents the total suspended solids (TSS).</w:t>
      </w:r>
    </w:p>
    <w:p w:rsidR="00FC78FF" w:rsidRDefault="00FC78FF" w:rsidP="00FC78FF">
      <w:pPr>
        <w:pStyle w:val="11SOP"/>
      </w:pPr>
      <w:r>
        <w:t>After completion of the TSS test, the suspended material may be used to t</w:t>
      </w:r>
      <w:r w:rsidR="00723F94">
        <w:t>est for Total Volatile Solids (TVS</w:t>
      </w:r>
      <w:r>
        <w:t>).</w:t>
      </w:r>
    </w:p>
    <w:p w:rsidR="00A961CE" w:rsidRDefault="00A961CE" w:rsidP="00A961CE">
      <w:pPr>
        <w:pStyle w:val="10SOP"/>
      </w:pPr>
      <w:r>
        <w:t>Safety</w:t>
      </w:r>
    </w:p>
    <w:p w:rsidR="00C44E3F" w:rsidRDefault="00A961CE" w:rsidP="00A961CE">
      <w:pPr>
        <w:pStyle w:val="11SOP"/>
      </w:pPr>
      <w:r>
        <w:t>Proper personal protection equipment, such as a lab coat, safety glasses, and nitrile gloves should be worn when performing any laboratory test.</w:t>
      </w:r>
    </w:p>
    <w:p w:rsidR="00F609CE" w:rsidRDefault="00F609CE" w:rsidP="00F609CE">
      <w:pPr>
        <w:pStyle w:val="10SOP"/>
      </w:pPr>
      <w:r>
        <w:t>Equipment and Supplies</w:t>
      </w:r>
    </w:p>
    <w:p w:rsidR="009361C9" w:rsidRDefault="009361C9" w:rsidP="00F609CE">
      <w:pPr>
        <w:pStyle w:val="11SOP"/>
        <w:rPr>
          <w:szCs w:val="22"/>
        </w:rPr>
      </w:pPr>
      <w:r>
        <w:rPr>
          <w:szCs w:val="22"/>
        </w:rPr>
        <w:t xml:space="preserve">Analytical balance </w:t>
      </w:r>
      <w:r>
        <w:rPr>
          <w:snapToGrid w:val="0"/>
        </w:rPr>
        <w:t>–</w:t>
      </w:r>
      <w:r>
        <w:rPr>
          <w:szCs w:val="22"/>
        </w:rPr>
        <w:t xml:space="preserve"> Capable of weighing to 0.1 mg for samples having a mass up to 200 g</w:t>
      </w:r>
    </w:p>
    <w:p w:rsidR="009361C9" w:rsidRDefault="009361C9" w:rsidP="00F609CE">
      <w:pPr>
        <w:pStyle w:val="11SOP"/>
        <w:rPr>
          <w:snapToGrid w:val="0"/>
        </w:rPr>
      </w:pPr>
      <w:r>
        <w:rPr>
          <w:snapToGrid w:val="0"/>
        </w:rPr>
        <w:t xml:space="preserve">Laboratory Oven – </w:t>
      </w:r>
      <w:proofErr w:type="spellStart"/>
      <w:r>
        <w:rPr>
          <w:snapToGrid w:val="0"/>
        </w:rPr>
        <w:t>Themostatically</w:t>
      </w:r>
      <w:proofErr w:type="spellEnd"/>
      <w:r>
        <w:rPr>
          <w:snapToGrid w:val="0"/>
        </w:rPr>
        <w:t xml:space="preserve"> controlled and capable of maintaining a uniform temperature of 103 to </w:t>
      </w:r>
      <w:proofErr w:type="spellStart"/>
      <w:r>
        <w:rPr>
          <w:snapToGrid w:val="0"/>
        </w:rPr>
        <w:t>105°C</w:t>
      </w:r>
      <w:proofErr w:type="spellEnd"/>
      <w:r>
        <w:rPr>
          <w:snapToGrid w:val="0"/>
        </w:rPr>
        <w:t xml:space="preserve"> throughout the drying chamber</w:t>
      </w:r>
    </w:p>
    <w:p w:rsidR="009361C9" w:rsidRDefault="009361C9" w:rsidP="00F609CE">
      <w:pPr>
        <w:pStyle w:val="11SOP"/>
        <w:rPr>
          <w:szCs w:val="22"/>
        </w:rPr>
      </w:pPr>
      <w:r>
        <w:rPr>
          <w:szCs w:val="22"/>
        </w:rPr>
        <w:t xml:space="preserve">Filter funnel (neither Buchner funnels or Gooch crucibles are allowed) </w:t>
      </w:r>
      <w:r>
        <w:rPr>
          <w:snapToGrid w:val="0"/>
        </w:rPr>
        <w:t>–</w:t>
      </w:r>
      <w:r w:rsidR="002227A8">
        <w:rPr>
          <w:szCs w:val="22"/>
        </w:rPr>
        <w:t xml:space="preserve"> </w:t>
      </w:r>
      <w:r>
        <w:rPr>
          <w:szCs w:val="22"/>
        </w:rPr>
        <w:t>Clean or replace filter frit when dirty or clogged</w:t>
      </w:r>
    </w:p>
    <w:p w:rsidR="009C3DDB" w:rsidRDefault="009C3DDB" w:rsidP="00F609CE">
      <w:pPr>
        <w:pStyle w:val="11SOP"/>
        <w:rPr>
          <w:szCs w:val="22"/>
        </w:rPr>
      </w:pPr>
      <w:r>
        <w:rPr>
          <w:szCs w:val="22"/>
        </w:rPr>
        <w:t>Vacuum Pump</w:t>
      </w:r>
    </w:p>
    <w:p w:rsidR="00FD0F20" w:rsidRDefault="00FD0F20" w:rsidP="00F609CE">
      <w:pPr>
        <w:pStyle w:val="11SOP"/>
        <w:rPr>
          <w:snapToGrid w:val="0"/>
        </w:rPr>
      </w:pPr>
      <w:r>
        <w:rPr>
          <w:snapToGrid w:val="0"/>
        </w:rPr>
        <w:t>Glass fiber filters, 4.7 cm diameter</w:t>
      </w:r>
    </w:p>
    <w:p w:rsidR="00FD0F20" w:rsidRDefault="00FD0F20" w:rsidP="00F609CE">
      <w:pPr>
        <w:pStyle w:val="11SOP"/>
        <w:rPr>
          <w:szCs w:val="22"/>
        </w:rPr>
      </w:pPr>
      <w:r>
        <w:rPr>
          <w:szCs w:val="22"/>
        </w:rPr>
        <w:t>Aluminum weighing dishes</w:t>
      </w:r>
    </w:p>
    <w:p w:rsidR="00F609CE" w:rsidRDefault="0010368E" w:rsidP="00F609CE">
      <w:pPr>
        <w:pStyle w:val="11SOP"/>
        <w:rPr>
          <w:snapToGrid w:val="0"/>
        </w:rPr>
      </w:pPr>
      <w:r>
        <w:rPr>
          <w:snapToGrid w:val="0"/>
        </w:rPr>
        <w:t>De</w:t>
      </w:r>
      <w:r w:rsidR="00F609CE">
        <w:rPr>
          <w:snapToGrid w:val="0"/>
        </w:rPr>
        <w:t>si</w:t>
      </w:r>
      <w:r>
        <w:rPr>
          <w:snapToGrid w:val="0"/>
        </w:rPr>
        <w:t>c</w:t>
      </w:r>
      <w:r w:rsidR="00F609CE">
        <w:rPr>
          <w:snapToGrid w:val="0"/>
        </w:rPr>
        <w:t xml:space="preserve">cator </w:t>
      </w:r>
      <w:r>
        <w:rPr>
          <w:snapToGrid w:val="0"/>
        </w:rPr>
        <w:t xml:space="preserve">with color indicating desiccant </w:t>
      </w:r>
      <w:r w:rsidR="009361C9">
        <w:rPr>
          <w:snapToGrid w:val="0"/>
        </w:rPr>
        <w:t>– R</w:t>
      </w:r>
      <w:r>
        <w:rPr>
          <w:snapToGrid w:val="0"/>
        </w:rPr>
        <w:t>eplace desiccant</w:t>
      </w:r>
      <w:r w:rsidR="009361C9">
        <w:rPr>
          <w:snapToGrid w:val="0"/>
        </w:rPr>
        <w:t xml:space="preserve"> when turns from blue to purple</w:t>
      </w:r>
      <w:r w:rsidR="002227A8">
        <w:rPr>
          <w:snapToGrid w:val="0"/>
        </w:rPr>
        <w:t>/pink</w:t>
      </w:r>
    </w:p>
    <w:p w:rsidR="009361C9" w:rsidRDefault="009361C9" w:rsidP="00F609CE">
      <w:pPr>
        <w:pStyle w:val="11SOP"/>
        <w:rPr>
          <w:szCs w:val="22"/>
        </w:rPr>
      </w:pPr>
      <w:r>
        <w:rPr>
          <w:szCs w:val="22"/>
        </w:rPr>
        <w:t xml:space="preserve">Class A graduated cylinders, </w:t>
      </w:r>
      <w:proofErr w:type="gramStart"/>
      <w:r>
        <w:rPr>
          <w:szCs w:val="22"/>
        </w:rPr>
        <w:t>various sizes</w:t>
      </w:r>
      <w:proofErr w:type="gramEnd"/>
    </w:p>
    <w:p w:rsidR="009361C9" w:rsidRDefault="009361C9" w:rsidP="00F609CE">
      <w:pPr>
        <w:pStyle w:val="11SOP"/>
        <w:rPr>
          <w:szCs w:val="22"/>
        </w:rPr>
      </w:pPr>
      <w:r>
        <w:rPr>
          <w:szCs w:val="22"/>
        </w:rPr>
        <w:t>Wide-tip pipettes</w:t>
      </w:r>
    </w:p>
    <w:p w:rsidR="009361C9" w:rsidRDefault="009361C9" w:rsidP="00F609CE">
      <w:pPr>
        <w:pStyle w:val="11SOP"/>
        <w:rPr>
          <w:szCs w:val="22"/>
        </w:rPr>
      </w:pPr>
      <w:r>
        <w:rPr>
          <w:szCs w:val="22"/>
        </w:rPr>
        <w:lastRenderedPageBreak/>
        <w:t>Wash bottle filled with distilled water</w:t>
      </w:r>
    </w:p>
    <w:p w:rsidR="00F609CE" w:rsidRDefault="00353D6E" w:rsidP="00F609CE">
      <w:pPr>
        <w:pStyle w:val="11SOP"/>
        <w:rPr>
          <w:szCs w:val="22"/>
        </w:rPr>
      </w:pPr>
      <w:r>
        <w:rPr>
          <w:szCs w:val="22"/>
        </w:rPr>
        <w:t>Magnetic stirrer</w:t>
      </w:r>
    </w:p>
    <w:p w:rsidR="00923F3F" w:rsidRDefault="00923F3F" w:rsidP="00F609CE">
      <w:pPr>
        <w:pStyle w:val="11SOP"/>
        <w:rPr>
          <w:szCs w:val="22"/>
        </w:rPr>
      </w:pPr>
      <w:r>
        <w:rPr>
          <w:szCs w:val="22"/>
        </w:rPr>
        <w:t>Magnetic stir bars</w:t>
      </w:r>
    </w:p>
    <w:p w:rsidR="009361C9" w:rsidRDefault="009361C9" w:rsidP="00F609CE">
      <w:pPr>
        <w:pStyle w:val="11SOP"/>
        <w:rPr>
          <w:szCs w:val="22"/>
        </w:rPr>
      </w:pPr>
      <w:r>
        <w:rPr>
          <w:szCs w:val="22"/>
        </w:rPr>
        <w:t>Gloves, tongs, or a suitable holder for moving and handling hot containers after drying</w:t>
      </w:r>
    </w:p>
    <w:p w:rsidR="009361C9" w:rsidRDefault="009361C9" w:rsidP="00F609CE">
      <w:pPr>
        <w:pStyle w:val="11SOP"/>
        <w:rPr>
          <w:szCs w:val="22"/>
        </w:rPr>
      </w:pPr>
      <w:r>
        <w:rPr>
          <w:szCs w:val="22"/>
        </w:rPr>
        <w:t>Forceps</w:t>
      </w:r>
    </w:p>
    <w:p w:rsidR="00F609CE" w:rsidRDefault="00F609CE" w:rsidP="00F609CE">
      <w:pPr>
        <w:pStyle w:val="10SOP"/>
      </w:pPr>
      <w:r>
        <w:rPr>
          <w:snapToGrid w:val="0"/>
        </w:rPr>
        <w:t>Reagents and Standards</w:t>
      </w:r>
    </w:p>
    <w:p w:rsidR="00F609CE" w:rsidRDefault="00D15C85" w:rsidP="00F609CE">
      <w:pPr>
        <w:pStyle w:val="11SOP"/>
      </w:pPr>
      <w:r>
        <w:t>Distilled w</w:t>
      </w:r>
      <w:r w:rsidR="00F609CE">
        <w:t>ater</w:t>
      </w:r>
    </w:p>
    <w:p w:rsidR="00F609CE" w:rsidRDefault="00F609CE" w:rsidP="00F609CE">
      <w:pPr>
        <w:pStyle w:val="11SOP"/>
      </w:pPr>
      <w:r>
        <w:t xml:space="preserve">Proficiency Test samples from </w:t>
      </w:r>
      <w:r w:rsidR="009C3DDB">
        <w:t>an</w:t>
      </w:r>
      <w:r w:rsidR="009361C9">
        <w:t xml:space="preserve"> approved provider</w:t>
      </w:r>
    </w:p>
    <w:p w:rsidR="00A961CE" w:rsidRDefault="00A961CE" w:rsidP="00A961CE">
      <w:pPr>
        <w:pStyle w:val="10SOP"/>
      </w:pPr>
      <w:r>
        <w:t>Interferences</w:t>
      </w:r>
    </w:p>
    <w:p w:rsidR="00A961CE" w:rsidRDefault="00A961CE" w:rsidP="00A961CE">
      <w:pPr>
        <w:pStyle w:val="11SOP"/>
      </w:pPr>
      <w:r>
        <w:t>If a large particle appears to be non-representative of the sample and appears that it may skew the results, it may be removed. This is a decision of the analyst, but it is to be noted on the bench sheet.</w:t>
      </w:r>
    </w:p>
    <w:p w:rsidR="00A961CE" w:rsidRDefault="00A961CE" w:rsidP="00A961CE">
      <w:pPr>
        <w:pStyle w:val="11SOP"/>
      </w:pPr>
      <w:r>
        <w:t>Heavy loading of the filter surface (taking more than 30-60 seconds to pass through) will decrease the effective pore size which will in turn add a positive error.</w:t>
      </w:r>
    </w:p>
    <w:p w:rsidR="00A961CE" w:rsidRDefault="00A961CE" w:rsidP="00A961CE">
      <w:pPr>
        <w:pStyle w:val="11SOP"/>
      </w:pPr>
      <w:r>
        <w:t>Sample size should be limited to no more than 200 mg residue. This prevents a water entrapping crust to form on the filter paper.</w:t>
      </w:r>
    </w:p>
    <w:p w:rsidR="00A961CE" w:rsidRDefault="00A961CE" w:rsidP="00A961CE">
      <w:pPr>
        <w:pStyle w:val="11SOP"/>
      </w:pPr>
      <w:r>
        <w:t xml:space="preserve">Sample size should have a minimum residue of at least 2.5 mg.  The </w:t>
      </w:r>
      <w:proofErr w:type="spellStart"/>
      <w:r>
        <w:t>WDNR</w:t>
      </w:r>
      <w:proofErr w:type="spellEnd"/>
      <w:r>
        <w:t xml:space="preserve"> allows a minimum residue of at least 1.0 mg.</w:t>
      </w:r>
    </w:p>
    <w:p w:rsidR="00A961CE" w:rsidRDefault="00A961CE" w:rsidP="00A961CE">
      <w:pPr>
        <w:pStyle w:val="11SOP"/>
      </w:pPr>
      <w:r>
        <w:t xml:space="preserve">Negative errors may be produced from solids that volatilize in the 103 - </w:t>
      </w:r>
      <w:proofErr w:type="spellStart"/>
      <w:r>
        <w:t>105°C</w:t>
      </w:r>
      <w:proofErr w:type="spellEnd"/>
      <w:r>
        <w:t xml:space="preserve"> range.</w:t>
      </w:r>
    </w:p>
    <w:p w:rsidR="00F609CE" w:rsidRDefault="00F609CE" w:rsidP="00F609CE">
      <w:pPr>
        <w:pStyle w:val="10SOP"/>
      </w:pPr>
      <w:r>
        <w:t>Sample Co</w:t>
      </w:r>
      <w:r w:rsidR="00A001BC">
        <w:t>llection, Preservation</w:t>
      </w:r>
      <w:r>
        <w:t>, and Storage</w:t>
      </w:r>
    </w:p>
    <w:p w:rsidR="00F609CE" w:rsidRDefault="00F609CE" w:rsidP="00F609CE">
      <w:pPr>
        <w:pStyle w:val="11SOP"/>
      </w:pPr>
      <w:r>
        <w:t>Resistant-glass or plastic bottles may be used for sample collection. Sample material should not adhere to the container walls.</w:t>
      </w:r>
    </w:p>
    <w:p w:rsidR="002227A8" w:rsidRPr="0017617E" w:rsidRDefault="00353D6E" w:rsidP="00F609CE">
      <w:pPr>
        <w:pStyle w:val="11SOP"/>
      </w:pPr>
      <w:r w:rsidRPr="0017617E">
        <w:t>Refrigerat</w:t>
      </w:r>
      <w:r w:rsidR="00BC382F" w:rsidRPr="0017617E">
        <w:t>e</w:t>
      </w:r>
      <w:r w:rsidR="0017617E" w:rsidRPr="0017617E">
        <w:t xml:space="preserve"> samples from 0 </w:t>
      </w:r>
      <w:r w:rsidR="0017617E" w:rsidRPr="0017617E">
        <w:rPr>
          <w:rFonts w:cs="Arial"/>
        </w:rPr>
        <w:t>≤</w:t>
      </w:r>
      <w:r w:rsidR="0017617E" w:rsidRPr="0017617E">
        <w:t xml:space="preserve"> </w:t>
      </w:r>
      <w:proofErr w:type="spellStart"/>
      <w:r w:rsidR="0017617E" w:rsidRPr="0017617E">
        <w:t>6</w:t>
      </w:r>
      <w:r w:rsidRPr="0017617E">
        <w:t>ºC</w:t>
      </w:r>
      <w:proofErr w:type="spellEnd"/>
      <w:r w:rsidR="00F609CE" w:rsidRPr="0017617E">
        <w:t xml:space="preserve">. </w:t>
      </w:r>
    </w:p>
    <w:p w:rsidR="00F609CE" w:rsidRDefault="002227A8" w:rsidP="00F609CE">
      <w:pPr>
        <w:pStyle w:val="11SOP"/>
      </w:pPr>
      <w:r>
        <w:t>Hold times may not exceed 7 days from the time of collection</w:t>
      </w:r>
      <w:r w:rsidR="00F609CE">
        <w:t>.</w:t>
      </w:r>
    </w:p>
    <w:p w:rsidR="00F609CE" w:rsidRDefault="00F609CE" w:rsidP="00F609CE">
      <w:pPr>
        <w:pStyle w:val="10SOP"/>
      </w:pPr>
      <w:r>
        <w:t>Quality Control</w:t>
      </w:r>
    </w:p>
    <w:p w:rsidR="002227A8" w:rsidRDefault="002227A8" w:rsidP="00F609CE">
      <w:pPr>
        <w:pStyle w:val="11SOP"/>
        <w:keepNext/>
      </w:pPr>
      <w:r>
        <w:t>Initial Quality Control</w:t>
      </w:r>
    </w:p>
    <w:p w:rsidR="00F609CE" w:rsidRDefault="00F609CE" w:rsidP="00AC4622">
      <w:pPr>
        <w:pStyle w:val="111SOP"/>
        <w:ind w:hanging="990"/>
      </w:pPr>
      <w:r>
        <w:t>Method Detection Limit (MDL):  The Laboratory is not required to complete a MDL study for TSS.  The reporting limit used, as spe</w:t>
      </w:r>
      <w:r w:rsidR="00353D6E">
        <w:t>cified by the method, is 2 mg/L if 500 mL of sample volume is used.</w:t>
      </w:r>
    </w:p>
    <w:p w:rsidR="00F609CE" w:rsidRDefault="00F609CE" w:rsidP="00AC4622">
      <w:pPr>
        <w:pStyle w:val="111SOP"/>
        <w:ind w:hanging="990"/>
      </w:pPr>
      <w:r>
        <w:t xml:space="preserve">All analysts shall perform an IDC </w:t>
      </w:r>
      <w:r w:rsidRPr="00197446">
        <w:rPr>
          <w:u w:val="single"/>
        </w:rPr>
        <w:t xml:space="preserve">once </w:t>
      </w:r>
      <w:r w:rsidR="00353D6E" w:rsidRPr="00197446">
        <w:rPr>
          <w:u w:val="single"/>
        </w:rPr>
        <w:t>for each lab technician</w:t>
      </w:r>
      <w:r>
        <w:t>.</w:t>
      </w:r>
      <w:r w:rsidR="00353D6E">
        <w:t xml:space="preserve">  An IDC is required of all new lab technicians.  </w:t>
      </w:r>
    </w:p>
    <w:p w:rsidR="002227A8" w:rsidRPr="002227A8" w:rsidRDefault="002227A8" w:rsidP="00F609CE">
      <w:pPr>
        <w:pStyle w:val="11SOP"/>
      </w:pPr>
      <w:r>
        <w:lastRenderedPageBreak/>
        <w:t>On-going Quality Control</w:t>
      </w:r>
      <w:r>
        <w:tab/>
      </w:r>
    </w:p>
    <w:p w:rsidR="00197446" w:rsidRDefault="00197446" w:rsidP="00AC4622">
      <w:pPr>
        <w:pStyle w:val="111SOP"/>
        <w:ind w:hanging="990"/>
      </w:pPr>
      <w:r w:rsidRPr="000411E9">
        <w:rPr>
          <w:u w:val="single"/>
        </w:rPr>
        <w:t>Annually</w:t>
      </w:r>
      <w:r>
        <w:t xml:space="preserve"> a Proficiency Testing (PT) sample must be obtained and analyzed from one of the Wisconsin DNR approved providers.</w:t>
      </w:r>
    </w:p>
    <w:p w:rsidR="00F609CE" w:rsidRDefault="00F609CE" w:rsidP="00F609CE">
      <w:pPr>
        <w:pStyle w:val="11SOP"/>
      </w:pPr>
      <w:r>
        <w:t>Filter</w:t>
      </w:r>
      <w:r w:rsidR="00353D6E">
        <w:t>s</w:t>
      </w:r>
      <w:r>
        <w:t xml:space="preserve"> are dried </w:t>
      </w:r>
      <w:r w:rsidR="00370A84">
        <w:t>for at least 8 hours (typically overnight) so re-weighs of the filters are not required.</w:t>
      </w:r>
    </w:p>
    <w:p w:rsidR="00F609CE" w:rsidRDefault="00F609CE" w:rsidP="00F609CE">
      <w:pPr>
        <w:pStyle w:val="10SOP"/>
      </w:pPr>
      <w:r>
        <w:t>Calibration and Standardization</w:t>
      </w:r>
    </w:p>
    <w:p w:rsidR="00F609CE" w:rsidRDefault="00BE78D4" w:rsidP="00F609CE">
      <w:pPr>
        <w:pStyle w:val="11SOP"/>
      </w:pPr>
      <w:r w:rsidRPr="00BE78D4">
        <w:t>The balance is checked at least once per month with at least 2 weights, one in the g range and one in the mg range. The acceptance limits for the mg weight are 5% and for the g range is 0.5%</w:t>
      </w:r>
      <w:r>
        <w:t xml:space="preserve"> or as specified on th</w:t>
      </w:r>
      <w:r w:rsidR="002227A8">
        <w:t>e Monthly Balance Verification l</w:t>
      </w:r>
      <w:r>
        <w:t>og</w:t>
      </w:r>
      <w:r w:rsidR="002227A8">
        <w:t xml:space="preserve"> sheet</w:t>
      </w:r>
      <w:r>
        <w:t>. The checks are</w:t>
      </w:r>
      <w:r w:rsidRPr="00BE78D4">
        <w:t xml:space="preserve"> documented on the Monthly Balance Verification log sheet. </w:t>
      </w:r>
      <w:r w:rsidR="00F609CE">
        <w:t xml:space="preserve">   </w:t>
      </w:r>
    </w:p>
    <w:p w:rsidR="00F609CE" w:rsidRDefault="00F609CE" w:rsidP="00F609CE">
      <w:pPr>
        <w:pStyle w:val="11SOP"/>
      </w:pPr>
      <w:r>
        <w:t xml:space="preserve">The </w:t>
      </w:r>
      <w:r w:rsidR="002227A8" w:rsidRPr="00370473">
        <w:t xml:space="preserve">ASTM </w:t>
      </w:r>
      <w:r w:rsidRPr="00370473">
        <w:t>Class</w:t>
      </w:r>
      <w:r>
        <w:t xml:space="preserve"> 1 </w:t>
      </w:r>
      <w:r w:rsidR="00370473">
        <w:t xml:space="preserve">or Class 2 </w:t>
      </w:r>
      <w:r>
        <w:t xml:space="preserve">weights used are certified </w:t>
      </w:r>
      <w:r w:rsidR="00BE78D4">
        <w:t xml:space="preserve">or replaced </w:t>
      </w:r>
      <w:r w:rsidR="00C167CC">
        <w:t>every 5 years</w:t>
      </w:r>
      <w:r>
        <w:t xml:space="preserve"> by an outside source and the documentation </w:t>
      </w:r>
      <w:r w:rsidR="002227A8">
        <w:t xml:space="preserve">is </w:t>
      </w:r>
      <w:r>
        <w:t>kept on file in the laboratory.</w:t>
      </w:r>
    </w:p>
    <w:p w:rsidR="00F609CE" w:rsidRDefault="00BE78D4" w:rsidP="00F609CE">
      <w:pPr>
        <w:pStyle w:val="11SOP"/>
      </w:pPr>
      <w:r>
        <w:t>Although not required for certification, t</w:t>
      </w:r>
      <w:r w:rsidR="00C167CC">
        <w:t>he analytical balance may be</w:t>
      </w:r>
      <w:r w:rsidR="00F609CE">
        <w:t xml:space="preserve"> checked and certified annually by an outside source and the documentation kept on file in the laboratory.</w:t>
      </w:r>
    </w:p>
    <w:p w:rsidR="00F609CE" w:rsidRDefault="00F609CE" w:rsidP="00F609CE">
      <w:pPr>
        <w:pStyle w:val="11SOP"/>
      </w:pPr>
      <w:r>
        <w:t>The temperature of the solids oven is checked daily when in use and recorded on the Temperature Log</w:t>
      </w:r>
      <w:r w:rsidR="002227A8">
        <w:t xml:space="preserve"> or on the TSS bench sheet</w:t>
      </w:r>
      <w:r>
        <w:t>. This thermometer is NIST certified.</w:t>
      </w:r>
    </w:p>
    <w:p w:rsidR="00043E6D" w:rsidRDefault="00F609CE" w:rsidP="00043E6D">
      <w:pPr>
        <w:pStyle w:val="10SOP"/>
      </w:pPr>
      <w:r>
        <w:t>Procedure</w:t>
      </w:r>
    </w:p>
    <w:p w:rsidR="00F609CE" w:rsidRDefault="00043E6D" w:rsidP="00043E6D">
      <w:pPr>
        <w:pStyle w:val="11SOP"/>
      </w:pPr>
      <w:r>
        <w:t>Prepare the glass-fiber filter:  pre-rinse glass-</w:t>
      </w:r>
      <w:r w:rsidR="00F609CE">
        <w:t>fiber</w:t>
      </w:r>
      <w:r w:rsidR="00C167CC">
        <w:t xml:space="preserve"> filters the day prior to use b</w:t>
      </w:r>
      <w:r w:rsidR="00F609CE">
        <w:t>y rinsing 3 conse</w:t>
      </w:r>
      <w:r>
        <w:t xml:space="preserve">cutive times with at least 20 mL DI water. Put </w:t>
      </w:r>
      <w:r w:rsidR="002227A8">
        <w:t xml:space="preserve">the </w:t>
      </w:r>
      <w:r>
        <w:t>filter</w:t>
      </w:r>
      <w:r w:rsidR="00F609CE">
        <w:t xml:space="preserve"> into</w:t>
      </w:r>
      <w:r>
        <w:t xml:space="preserve"> a labeled</w:t>
      </w:r>
      <w:r w:rsidR="00F609CE">
        <w:t xml:space="preserve"> aluminum weighing dish</w:t>
      </w:r>
      <w:r w:rsidR="002227A8">
        <w:t>,</w:t>
      </w:r>
      <w:r w:rsidR="00F609CE">
        <w:t xml:space="preserve"> an</w:t>
      </w:r>
      <w:r w:rsidR="00494426">
        <w:t xml:space="preserve">d dry in </w:t>
      </w:r>
      <w:r w:rsidR="002227A8">
        <w:t xml:space="preserve">the </w:t>
      </w:r>
      <w:r w:rsidR="00494426">
        <w:t>oven at 103</w:t>
      </w:r>
      <w:r w:rsidR="0060430D">
        <w:t xml:space="preserve"> </w:t>
      </w:r>
      <w:r w:rsidR="00C167CC">
        <w:t>-</w:t>
      </w:r>
      <w:r w:rsidR="0060430D">
        <w:t xml:space="preserve"> </w:t>
      </w:r>
      <w:proofErr w:type="spellStart"/>
      <w:r w:rsidR="00C167CC">
        <w:t>105</w:t>
      </w:r>
      <w:r w:rsidR="00C167CC" w:rsidRPr="00043E6D">
        <w:rPr>
          <w:rFonts w:cs="Arial"/>
        </w:rPr>
        <w:t>°</w:t>
      </w:r>
      <w:r w:rsidR="00494426">
        <w:t>C</w:t>
      </w:r>
      <w:proofErr w:type="spellEnd"/>
      <w:r w:rsidR="00F609CE">
        <w:t xml:space="preserve"> </w:t>
      </w:r>
      <w:r w:rsidR="0010368E">
        <w:t>for at least one hour</w:t>
      </w:r>
      <w:r w:rsidR="00494426">
        <w:t xml:space="preserve">. </w:t>
      </w:r>
      <w:r w:rsidR="00C167CC">
        <w:t>Record times and lot numbers on the TSS bench sheet</w:t>
      </w:r>
      <w:r w:rsidR="00F609CE">
        <w:t xml:space="preserve">. </w:t>
      </w:r>
      <w:r w:rsidR="0010368E">
        <w:t xml:space="preserve"> Store cleaned filters in the desiccator or oven until needed.</w:t>
      </w:r>
    </w:p>
    <w:p w:rsidR="00F609CE" w:rsidRDefault="00F609CE" w:rsidP="00F609CE">
      <w:pPr>
        <w:pStyle w:val="11SOP"/>
      </w:pPr>
      <w:r>
        <w:t>Record the weight of each filter and weighing dish</w:t>
      </w:r>
      <w:r w:rsidR="00043E6D">
        <w:t xml:space="preserve"> just prior to use</w:t>
      </w:r>
      <w:r>
        <w:t>.</w:t>
      </w:r>
    </w:p>
    <w:p w:rsidR="00F609CE" w:rsidRDefault="00F609CE" w:rsidP="00F609CE">
      <w:pPr>
        <w:pStyle w:val="11SOP"/>
      </w:pPr>
      <w:r>
        <w:t>Assemble the filtering apparatus. Place the filter paper on the filter support and wet with a small volume of distilled water. Apply the vacuum.</w:t>
      </w:r>
    </w:p>
    <w:p w:rsidR="00F609CE" w:rsidRDefault="0010368E" w:rsidP="00F609CE">
      <w:pPr>
        <w:pStyle w:val="11SOP"/>
      </w:pPr>
      <w:r>
        <w:t>S</w:t>
      </w:r>
      <w:r w:rsidR="00F609CE">
        <w:t>elect the sample volume using the following guidelines:</w:t>
      </w:r>
    </w:p>
    <w:p w:rsidR="00F609CE" w:rsidRDefault="00F609CE" w:rsidP="00AC4622">
      <w:pPr>
        <w:pStyle w:val="111SOP"/>
        <w:ind w:hanging="990"/>
      </w:pPr>
      <w:r>
        <w:t xml:space="preserve">The sample volume </w:t>
      </w:r>
      <w:r w:rsidR="0010368E">
        <w:t>must</w:t>
      </w:r>
      <w:r>
        <w:t xml:space="preserve"> yiel</w:t>
      </w:r>
      <w:r w:rsidR="00043E6D">
        <w:t>d a residual weight of 1.0</w:t>
      </w:r>
      <w:r w:rsidR="00C167CC">
        <w:t xml:space="preserve"> to 20</w:t>
      </w:r>
      <w:r>
        <w:t>0 mg.</w:t>
      </w:r>
      <w:r w:rsidR="00043E6D">
        <w:t xml:space="preserve"> </w:t>
      </w:r>
    </w:p>
    <w:p w:rsidR="00F609CE" w:rsidRDefault="00F609CE" w:rsidP="00AC4622">
      <w:pPr>
        <w:pStyle w:val="111SOP"/>
        <w:ind w:hanging="990"/>
      </w:pPr>
      <w:r>
        <w:t>If the volume filtered fails to meet the requirem</w:t>
      </w:r>
      <w:r w:rsidR="00C167CC">
        <w:t xml:space="preserve">ent </w:t>
      </w:r>
      <w:r w:rsidR="0010368E">
        <w:t>for minimum yield of 1.0</w:t>
      </w:r>
      <w:r w:rsidR="00C167CC">
        <w:t xml:space="preserve"> mg</w:t>
      </w:r>
      <w:r w:rsidR="0010368E">
        <w:t xml:space="preserve">, </w:t>
      </w:r>
      <w:r w:rsidR="009C3DDB">
        <w:t xml:space="preserve">at least </w:t>
      </w:r>
      <w:r w:rsidR="0010368E">
        <w:t>500 mL sample volume must be used.</w:t>
      </w:r>
    </w:p>
    <w:p w:rsidR="00F609CE" w:rsidRDefault="00F609CE" w:rsidP="00AC4622">
      <w:pPr>
        <w:pStyle w:val="111SOP"/>
        <w:ind w:hanging="990"/>
      </w:pPr>
      <w:r>
        <w:t xml:space="preserve">If the time of filtration exceeds </w:t>
      </w:r>
      <w:r w:rsidR="00043E6D">
        <w:t>10 minutes, use smaller sample volumes.</w:t>
      </w:r>
    </w:p>
    <w:p w:rsidR="0010368E" w:rsidRDefault="0010368E" w:rsidP="00AC4622">
      <w:pPr>
        <w:pStyle w:val="111SOP"/>
        <w:ind w:hanging="990"/>
      </w:pPr>
      <w:r>
        <w:t xml:space="preserve">Experience with a </w:t>
      </w:r>
      <w:proofErr w:type="gramStart"/>
      <w:r>
        <w:t>particular sample</w:t>
      </w:r>
      <w:proofErr w:type="gramEnd"/>
      <w:r>
        <w:t xml:space="preserve"> will help determine the volume to filter.</w:t>
      </w:r>
    </w:p>
    <w:p w:rsidR="00F609CE" w:rsidRDefault="00F609CE" w:rsidP="00AC4622">
      <w:pPr>
        <w:pStyle w:val="1111SOP"/>
        <w:ind w:hanging="1170"/>
      </w:pPr>
      <w:r>
        <w:lastRenderedPageBreak/>
        <w:t>Normal Sample Size:</w:t>
      </w:r>
    </w:p>
    <w:tbl>
      <w:tblPr>
        <w:tblStyle w:val="TableGrid"/>
        <w:tblW w:w="0" w:type="auto"/>
        <w:tblInd w:w="3595" w:type="dxa"/>
        <w:tblLook w:val="04A0" w:firstRow="1" w:lastRow="0" w:firstColumn="1" w:lastColumn="0" w:noHBand="0" w:noVBand="1"/>
      </w:tblPr>
      <w:tblGrid>
        <w:gridCol w:w="2484"/>
        <w:gridCol w:w="2484"/>
      </w:tblGrid>
      <w:tr w:rsidR="00D715D0" w:rsidTr="009C3DDB">
        <w:tc>
          <w:tcPr>
            <w:tcW w:w="2484" w:type="dxa"/>
            <w:shd w:val="clear" w:color="auto" w:fill="BFBFBF" w:themeFill="background1" w:themeFillShade="BF"/>
            <w:vAlign w:val="center"/>
          </w:tcPr>
          <w:p w:rsidR="00D715D0" w:rsidRDefault="00D715D0" w:rsidP="00D715D0">
            <w:pPr>
              <w:pStyle w:val="BodyTextIndent"/>
              <w:ind w:left="0"/>
              <w:jc w:val="center"/>
              <w:rPr>
                <w:szCs w:val="22"/>
              </w:rPr>
            </w:pPr>
            <w:r>
              <w:rPr>
                <w:szCs w:val="22"/>
              </w:rPr>
              <w:t>Sample ID</w:t>
            </w:r>
          </w:p>
        </w:tc>
        <w:tc>
          <w:tcPr>
            <w:tcW w:w="2484" w:type="dxa"/>
            <w:shd w:val="clear" w:color="auto" w:fill="BFBFBF" w:themeFill="background1" w:themeFillShade="BF"/>
            <w:vAlign w:val="center"/>
          </w:tcPr>
          <w:p w:rsidR="00D715D0" w:rsidRDefault="00D715D0" w:rsidP="00D715D0">
            <w:pPr>
              <w:pStyle w:val="BodyTextIndent"/>
              <w:ind w:left="0"/>
              <w:jc w:val="center"/>
              <w:rPr>
                <w:szCs w:val="22"/>
              </w:rPr>
            </w:pPr>
            <w:r>
              <w:rPr>
                <w:szCs w:val="22"/>
              </w:rPr>
              <w:t>Sample Size</w:t>
            </w:r>
          </w:p>
        </w:tc>
      </w:tr>
      <w:tr w:rsidR="00D715D0" w:rsidTr="009C3DDB">
        <w:tc>
          <w:tcPr>
            <w:tcW w:w="2484" w:type="dxa"/>
            <w:vAlign w:val="center"/>
          </w:tcPr>
          <w:p w:rsidR="00D715D0" w:rsidRDefault="00D715D0" w:rsidP="00D715D0">
            <w:pPr>
              <w:pStyle w:val="BodyTextIndent"/>
              <w:ind w:left="0"/>
              <w:jc w:val="center"/>
              <w:rPr>
                <w:szCs w:val="22"/>
              </w:rPr>
            </w:pPr>
            <w:r>
              <w:rPr>
                <w:szCs w:val="22"/>
              </w:rPr>
              <w:t>Raw Influent</w:t>
            </w:r>
          </w:p>
        </w:tc>
        <w:tc>
          <w:tcPr>
            <w:tcW w:w="2484" w:type="dxa"/>
            <w:vAlign w:val="center"/>
          </w:tcPr>
          <w:p w:rsidR="00D715D0" w:rsidRDefault="00D715D0" w:rsidP="00D715D0">
            <w:pPr>
              <w:pStyle w:val="BodyTextIndent"/>
              <w:ind w:left="0"/>
              <w:jc w:val="center"/>
              <w:rPr>
                <w:szCs w:val="22"/>
              </w:rPr>
            </w:pPr>
            <w:r>
              <w:rPr>
                <w:szCs w:val="22"/>
              </w:rPr>
              <w:t>1 – 300 mL</w:t>
            </w:r>
          </w:p>
        </w:tc>
      </w:tr>
      <w:tr w:rsidR="00D715D0" w:rsidTr="009C3DDB">
        <w:tc>
          <w:tcPr>
            <w:tcW w:w="2484" w:type="dxa"/>
            <w:vAlign w:val="center"/>
          </w:tcPr>
          <w:p w:rsidR="00D715D0" w:rsidRDefault="00D715D0" w:rsidP="00D715D0">
            <w:pPr>
              <w:pStyle w:val="BodyTextIndent"/>
              <w:ind w:left="0"/>
              <w:jc w:val="center"/>
              <w:rPr>
                <w:szCs w:val="22"/>
              </w:rPr>
            </w:pPr>
            <w:r>
              <w:rPr>
                <w:szCs w:val="22"/>
              </w:rPr>
              <w:t>Final Effluent</w:t>
            </w:r>
          </w:p>
        </w:tc>
        <w:tc>
          <w:tcPr>
            <w:tcW w:w="2484" w:type="dxa"/>
            <w:vAlign w:val="center"/>
          </w:tcPr>
          <w:p w:rsidR="00D715D0" w:rsidRDefault="00D715D0" w:rsidP="00D715D0">
            <w:pPr>
              <w:pStyle w:val="BodyTextIndent"/>
              <w:ind w:left="0"/>
              <w:jc w:val="center"/>
              <w:rPr>
                <w:szCs w:val="22"/>
              </w:rPr>
            </w:pPr>
            <w:r>
              <w:rPr>
                <w:szCs w:val="22"/>
              </w:rPr>
              <w:t>100 – 1000 mL</w:t>
            </w:r>
          </w:p>
        </w:tc>
      </w:tr>
    </w:tbl>
    <w:p w:rsidR="00F609CE" w:rsidRDefault="00F609CE" w:rsidP="00F609CE"/>
    <w:p w:rsidR="00F609CE" w:rsidRDefault="00F609CE" w:rsidP="00F609CE">
      <w:pPr>
        <w:pStyle w:val="11SOP"/>
      </w:pPr>
      <w:r>
        <w:t xml:space="preserve">Shake </w:t>
      </w:r>
      <w:r w:rsidR="00646100">
        <w:t xml:space="preserve">or stir </w:t>
      </w:r>
      <w:r w:rsidR="00B135AE">
        <w:t xml:space="preserve">the </w:t>
      </w:r>
      <w:r>
        <w:t>sample to disper</w:t>
      </w:r>
      <w:r w:rsidR="00494426">
        <w:t>se particles</w:t>
      </w:r>
      <w:r w:rsidR="009C3DDB">
        <w:t>. If using a graduated cylinder, i</w:t>
      </w:r>
      <w:r w:rsidR="00494426">
        <w:t xml:space="preserve">mmediately </w:t>
      </w:r>
      <w:r>
        <w:t xml:space="preserve">pour </w:t>
      </w:r>
      <w:r w:rsidR="009C3DDB">
        <w:t>sample into volumetric cylinder and</w:t>
      </w:r>
      <w:r>
        <w:t xml:space="preserve"> </w:t>
      </w:r>
      <w:r w:rsidR="009C3DDB">
        <w:t>t</w:t>
      </w:r>
      <w:r>
        <w:t xml:space="preserve">ransfer to </w:t>
      </w:r>
      <w:r w:rsidR="00B135AE">
        <w:t xml:space="preserve">the </w:t>
      </w:r>
      <w:r w:rsidR="009C3DDB">
        <w:t xml:space="preserve">suction funnel. If using a pipette, pipette the sample immediately into the suction funnel. </w:t>
      </w:r>
      <w:r w:rsidR="009C3DDB">
        <w:t xml:space="preserve">It’s important not to let the solids settle.  </w:t>
      </w:r>
      <w:bookmarkStart w:id="1" w:name="_GoBack"/>
      <w:bookmarkEnd w:id="1"/>
    </w:p>
    <w:p w:rsidR="00F609CE" w:rsidRDefault="00F609CE" w:rsidP="00F609CE">
      <w:pPr>
        <w:pStyle w:val="11SOP"/>
      </w:pPr>
      <w:r>
        <w:t>After the sample has filtered thr</w:t>
      </w:r>
      <w:r w:rsidR="00043E6D">
        <w:t xml:space="preserve">ough the disk to dryness, rinse 3 times with </w:t>
      </w:r>
      <w:r>
        <w:t>10</w:t>
      </w:r>
      <w:r w:rsidR="00043E6D">
        <w:t>-</w:t>
      </w:r>
      <w:r>
        <w:t>mL portions of distilled water, vacuuming dry between each washing and making sure that particles are washed of</w:t>
      </w:r>
      <w:r w:rsidR="005E2E37">
        <w:t>f</w:t>
      </w:r>
      <w:r w:rsidR="00043E6D">
        <w:t xml:space="preserve"> the walls of the filtering</w:t>
      </w:r>
      <w:r>
        <w:t xml:space="preserve"> apparatus. Samples with high dissolved solids may require additional washings.</w:t>
      </w:r>
    </w:p>
    <w:p w:rsidR="00F609CE" w:rsidRDefault="00F609CE" w:rsidP="00F609CE">
      <w:pPr>
        <w:pStyle w:val="11SOP"/>
      </w:pPr>
      <w:r>
        <w:t>Continue suction for at least 3 minutes after filtration is complete.</w:t>
      </w:r>
    </w:p>
    <w:p w:rsidR="00F609CE" w:rsidRDefault="00F609CE" w:rsidP="00F609CE">
      <w:pPr>
        <w:pStyle w:val="11SOP"/>
      </w:pPr>
      <w:r>
        <w:t>Carefully remove the filter from the filter support with t</w:t>
      </w:r>
      <w:r w:rsidR="00C167CC">
        <w:t>he forceps</w:t>
      </w:r>
      <w:r w:rsidR="005E2E37">
        <w:t xml:space="preserve"> and put into a labeled aluminum weigh pan</w:t>
      </w:r>
      <w:r w:rsidR="00C167CC">
        <w:t>. Dry in an oven over</w:t>
      </w:r>
      <w:r>
        <w:t>night at 103</w:t>
      </w:r>
      <w:r w:rsidR="001B225C">
        <w:t xml:space="preserve"> </w:t>
      </w:r>
      <w:r>
        <w:t>-</w:t>
      </w:r>
      <w:r w:rsidR="001B225C">
        <w:t xml:space="preserve"> </w:t>
      </w:r>
      <w:proofErr w:type="spellStart"/>
      <w:r>
        <w:t>105ºC</w:t>
      </w:r>
      <w:proofErr w:type="spellEnd"/>
      <w:r>
        <w:t xml:space="preserve">. Cool in a desiccator until the filter disk has achieved room temperature. Weigh </w:t>
      </w:r>
      <w:r w:rsidR="00B135AE">
        <w:t xml:space="preserve">the </w:t>
      </w:r>
      <w:r>
        <w:t xml:space="preserve">filter </w:t>
      </w:r>
      <w:r w:rsidR="00B135AE">
        <w:t xml:space="preserve">and pan, </w:t>
      </w:r>
      <w:r>
        <w:t>and record on the bench sheet.</w:t>
      </w:r>
    </w:p>
    <w:p w:rsidR="00046C43" w:rsidRPr="00046C43" w:rsidRDefault="00046C43" w:rsidP="00F609CE">
      <w:pPr>
        <w:pStyle w:val="11SOP"/>
      </w:pPr>
      <w:r w:rsidRPr="00046C43">
        <w:t>If drying less than 8 hours, then repeat t</w:t>
      </w:r>
      <w:r w:rsidR="0060430D">
        <w:t>he drying (at least one hour), de</w:t>
      </w:r>
      <w:r w:rsidRPr="00046C43">
        <w:t>sic</w:t>
      </w:r>
      <w:r w:rsidR="0060430D">
        <w:t>c</w:t>
      </w:r>
      <w:r w:rsidRPr="00046C43">
        <w:t>ating, and weighing steps. The re-weigh result must be within 0.5 mg of the first weigh result</w:t>
      </w:r>
      <w:r w:rsidR="00B135AE">
        <w:t xml:space="preserve"> or 4%, whichever is less</w:t>
      </w:r>
      <w:r w:rsidR="00043E6D">
        <w:t>.  I</w:t>
      </w:r>
      <w:r w:rsidRPr="00046C43">
        <w:t>f it is not then repeat all three steps until the results agree. Document the re</w:t>
      </w:r>
      <w:r w:rsidR="0060430D">
        <w:t>-</w:t>
      </w:r>
      <w:r w:rsidRPr="00046C43">
        <w:t>dry</w:t>
      </w:r>
      <w:r w:rsidR="005E2E37">
        <w:t xml:space="preserve"> dates,</w:t>
      </w:r>
      <w:r w:rsidRPr="005E2E37">
        <w:t xml:space="preserve"> time</w:t>
      </w:r>
      <w:r w:rsidR="005E2E37">
        <w:t xml:space="preserve">s, </w:t>
      </w:r>
      <w:r w:rsidRPr="005E2E37">
        <w:t>re-weigh weight</w:t>
      </w:r>
      <w:r w:rsidR="005E2E37">
        <w:t>s, and anal</w:t>
      </w:r>
      <w:r w:rsidR="00043E6D">
        <w:t>ysts.</w:t>
      </w:r>
    </w:p>
    <w:p w:rsidR="00046C43" w:rsidRDefault="00046C43" w:rsidP="00F609CE">
      <w:pPr>
        <w:pStyle w:val="11SOP"/>
      </w:pPr>
      <w:r w:rsidRPr="00046C43">
        <w:t>The temperature of the solids oven is checked each day of use and recorded on the Temperature Log or on the TSS bench</w:t>
      </w:r>
      <w:r w:rsidR="00B135AE">
        <w:t xml:space="preserve"> </w:t>
      </w:r>
      <w:r w:rsidRPr="00046C43">
        <w:t>sheet</w:t>
      </w:r>
      <w:r w:rsidR="00043E6D">
        <w:t>. The</w:t>
      </w:r>
      <w:r w:rsidRPr="00046C43">
        <w:t xml:space="preserve"> thermometer is verified prior</w:t>
      </w:r>
      <w:r w:rsidRPr="00046C43">
        <w:rPr>
          <w:rFonts w:ascii="Calibri" w:hAnsi="Calibri" w:cs="Calibri"/>
        </w:rPr>
        <w:t xml:space="preserve"> </w:t>
      </w:r>
      <w:r w:rsidRPr="00046C43">
        <w:t>to expiration, or each year, and is NIST traceable.</w:t>
      </w:r>
    </w:p>
    <w:p w:rsidR="00F609CE" w:rsidRDefault="00886ABD" w:rsidP="00F609CE">
      <w:pPr>
        <w:pStyle w:val="11SOP"/>
      </w:pPr>
      <w:r>
        <w:t>The f</w:t>
      </w:r>
      <w:r w:rsidR="00F609CE">
        <w:t>ilter disk from the total suspended solids test may now be used for the total volatile suspended solids test.</w:t>
      </w:r>
    </w:p>
    <w:p w:rsidR="00F609CE" w:rsidRDefault="00F609CE" w:rsidP="00F609CE">
      <w:pPr>
        <w:pStyle w:val="10SOP"/>
      </w:pPr>
      <w:r>
        <w:t>Calculations</w:t>
      </w:r>
    </w:p>
    <w:p w:rsidR="00F609CE" w:rsidRDefault="00B135AE" w:rsidP="00F609CE">
      <w:pPr>
        <w:pStyle w:val="11SOP"/>
        <w:tabs>
          <w:tab w:val="center" w:pos="3870"/>
        </w:tabs>
      </w:pPr>
      <w:r>
        <w:t>mg/L TSS =</w:t>
      </w:r>
      <w:proofErr w:type="gramStart"/>
      <w:r>
        <w:tab/>
      </w:r>
      <w:r>
        <w:rPr>
          <w:u w:val="single"/>
        </w:rPr>
        <w:t>( A</w:t>
      </w:r>
      <w:proofErr w:type="gramEnd"/>
      <w:r>
        <w:rPr>
          <w:u w:val="single"/>
        </w:rPr>
        <w:t xml:space="preserve"> –</w:t>
      </w:r>
      <w:r w:rsidR="00F609CE">
        <w:rPr>
          <w:u w:val="single"/>
        </w:rPr>
        <w:t xml:space="preserve"> B )  x  1000</w:t>
      </w:r>
      <w:r w:rsidR="00B82E26">
        <w:br/>
      </w:r>
      <w:r w:rsidR="00B82E26">
        <w:tab/>
        <w:t xml:space="preserve">sample volume, </w:t>
      </w:r>
      <w:r w:rsidR="00F609CE">
        <w:t>L</w:t>
      </w:r>
    </w:p>
    <w:p w:rsidR="00F609CE" w:rsidRPr="00B135AE" w:rsidRDefault="00F609CE" w:rsidP="00F609CE">
      <w:pPr>
        <w:pStyle w:val="Calcsunder11"/>
        <w:rPr>
          <w:sz w:val="22"/>
        </w:rPr>
      </w:pPr>
      <w:r w:rsidRPr="00B135AE">
        <w:rPr>
          <w:sz w:val="22"/>
        </w:rPr>
        <w:t>Where:</w:t>
      </w:r>
    </w:p>
    <w:p w:rsidR="00F609CE" w:rsidRPr="00B135AE" w:rsidRDefault="00F609CE" w:rsidP="00F609CE">
      <w:pPr>
        <w:rPr>
          <w:rFonts w:ascii="Arial" w:hAnsi="Arial"/>
          <w:sz w:val="22"/>
          <w:szCs w:val="20"/>
        </w:rPr>
      </w:pPr>
    </w:p>
    <w:p w:rsidR="00F609CE" w:rsidRPr="00B135AE" w:rsidRDefault="00F609CE" w:rsidP="00F609CE">
      <w:pPr>
        <w:pStyle w:val="Calcsunder11"/>
        <w:rPr>
          <w:sz w:val="22"/>
        </w:rPr>
      </w:pPr>
      <w:r w:rsidRPr="00B135AE">
        <w:rPr>
          <w:sz w:val="22"/>
        </w:rPr>
        <w:t>A</w:t>
      </w:r>
      <w:r w:rsidR="00BE78D4" w:rsidRPr="00B135AE">
        <w:rPr>
          <w:sz w:val="22"/>
        </w:rPr>
        <w:t xml:space="preserve"> </w:t>
      </w:r>
      <w:r w:rsidRPr="00B135AE">
        <w:rPr>
          <w:sz w:val="22"/>
        </w:rPr>
        <w:t>= weight o</w:t>
      </w:r>
      <w:r w:rsidR="00B135AE">
        <w:rPr>
          <w:sz w:val="22"/>
        </w:rPr>
        <w:t xml:space="preserve">f filter disk + dried residue, </w:t>
      </w:r>
      <w:r w:rsidRPr="00B135AE">
        <w:rPr>
          <w:sz w:val="22"/>
        </w:rPr>
        <w:t>g</w:t>
      </w:r>
    </w:p>
    <w:p w:rsidR="00F609CE" w:rsidRPr="00B135AE" w:rsidRDefault="00F609CE" w:rsidP="00F609CE">
      <w:pPr>
        <w:pStyle w:val="Calcsunder11"/>
        <w:rPr>
          <w:sz w:val="22"/>
        </w:rPr>
      </w:pPr>
      <w:r w:rsidRPr="00B135AE">
        <w:rPr>
          <w:sz w:val="22"/>
        </w:rPr>
        <w:t>B</w:t>
      </w:r>
      <w:r w:rsidR="00BE78D4" w:rsidRPr="00B135AE">
        <w:rPr>
          <w:sz w:val="22"/>
        </w:rPr>
        <w:t xml:space="preserve"> </w:t>
      </w:r>
      <w:r w:rsidR="00B135AE">
        <w:rPr>
          <w:sz w:val="22"/>
        </w:rPr>
        <w:t xml:space="preserve">= weight of filter disk, </w:t>
      </w:r>
      <w:r w:rsidRPr="00B135AE">
        <w:rPr>
          <w:sz w:val="22"/>
        </w:rPr>
        <w:t>g</w:t>
      </w:r>
    </w:p>
    <w:p w:rsidR="00F609CE" w:rsidRPr="00B135AE" w:rsidRDefault="00F609CE" w:rsidP="00F609CE">
      <w:pPr>
        <w:rPr>
          <w:rFonts w:ascii="Arial" w:hAnsi="Arial"/>
          <w:sz w:val="22"/>
          <w:szCs w:val="20"/>
        </w:rPr>
      </w:pPr>
    </w:p>
    <w:p w:rsidR="00C44E3F" w:rsidRDefault="00C44E3F" w:rsidP="00C44E3F">
      <w:pPr>
        <w:pStyle w:val="10SOP"/>
      </w:pPr>
      <w:r>
        <w:t>Method Detection Limits and Reporting</w:t>
      </w:r>
    </w:p>
    <w:p w:rsidR="00C44E3F" w:rsidRDefault="00C44E3F" w:rsidP="00C44E3F">
      <w:pPr>
        <w:pStyle w:val="11SOP"/>
      </w:pPr>
      <w:r>
        <w:t>The Laboratory is not required to analyze a</w:t>
      </w:r>
      <w:r w:rsidR="007E0035">
        <w:t xml:space="preserve"> Method Detection Limit for TSS analysis.  A</w:t>
      </w:r>
      <w:r>
        <w:t xml:space="preserve"> Reporting Limit is </w:t>
      </w:r>
      <w:r w:rsidR="007E0035">
        <w:t xml:space="preserve">used and is </w:t>
      </w:r>
      <w:r>
        <w:t>based on a minimum residue</w:t>
      </w:r>
      <w:r w:rsidR="00B135AE">
        <w:t xml:space="preserve"> of 1 mg/L</w:t>
      </w:r>
      <w:r w:rsidR="007E0035">
        <w:t>.  A</w:t>
      </w:r>
      <w:r>
        <w:t xml:space="preserve"> 500-mL sample has a reporting limit of 2 mg/L.  Clean effluents must have sufficient volume filtered to achieve the reporting limit of 2 mg/L</w:t>
      </w:r>
      <w:r w:rsidR="007E0035">
        <w:t>,</w:t>
      </w:r>
      <w:r>
        <w:t xml:space="preserve"> so at least 500 mL of sample must be used. </w:t>
      </w:r>
    </w:p>
    <w:p w:rsidR="00C44E3F" w:rsidRDefault="00C44E3F" w:rsidP="00C44E3F">
      <w:pPr>
        <w:pStyle w:val="11SOP"/>
      </w:pPr>
      <w:r>
        <w:lastRenderedPageBreak/>
        <w:t>If you use the following volumes and the resulting TSS value is less than the reporting limits listed, then report &lt;</w:t>
      </w:r>
      <w:proofErr w:type="spellStart"/>
      <w:r>
        <w:t>RL</w:t>
      </w:r>
      <w:proofErr w:type="spellEnd"/>
      <w:r>
        <w:t xml:space="preserve"> on th</w:t>
      </w:r>
      <w:r w:rsidR="0060430D">
        <w:t>e</w:t>
      </w:r>
      <w:r>
        <w:t xml:space="preserve"> eDMR, not the actual calculated concentration.  The formula used to determine these reporting limits is as follows:  1000 x 1 mg / Volume filtered (mL).</w:t>
      </w:r>
    </w:p>
    <w:tbl>
      <w:tblPr>
        <w:tblStyle w:val="TableGrid"/>
        <w:tblW w:w="0" w:type="auto"/>
        <w:jc w:val="center"/>
        <w:tblLook w:val="04A0" w:firstRow="1" w:lastRow="0" w:firstColumn="1" w:lastColumn="0" w:noHBand="0" w:noVBand="1"/>
      </w:tblPr>
      <w:tblGrid>
        <w:gridCol w:w="2358"/>
        <w:gridCol w:w="2520"/>
      </w:tblGrid>
      <w:tr w:rsidR="00C44E3F" w:rsidTr="00C44E3F">
        <w:trPr>
          <w:jc w:val="center"/>
        </w:trPr>
        <w:tc>
          <w:tcPr>
            <w:tcW w:w="2358" w:type="dxa"/>
            <w:shd w:val="clear" w:color="auto" w:fill="BFBFBF"/>
          </w:tcPr>
          <w:p w:rsidR="00C44E3F" w:rsidRPr="00941588" w:rsidRDefault="00C44E3F" w:rsidP="000F0A5D">
            <w:pPr>
              <w:jc w:val="center"/>
              <w:rPr>
                <w:rFonts w:ascii="Arial" w:hAnsi="Arial"/>
                <w:sz w:val="22"/>
                <w:szCs w:val="20"/>
              </w:rPr>
            </w:pPr>
            <w:r w:rsidRPr="00941588">
              <w:rPr>
                <w:rFonts w:ascii="Arial" w:hAnsi="Arial"/>
                <w:sz w:val="22"/>
                <w:szCs w:val="20"/>
              </w:rPr>
              <w:t>Filtered Volume (mL)</w:t>
            </w:r>
          </w:p>
        </w:tc>
        <w:tc>
          <w:tcPr>
            <w:tcW w:w="2520" w:type="dxa"/>
            <w:shd w:val="clear" w:color="auto" w:fill="BFBFBF"/>
          </w:tcPr>
          <w:p w:rsidR="00C44E3F" w:rsidRPr="00941588" w:rsidRDefault="00C44E3F" w:rsidP="000F0A5D">
            <w:pPr>
              <w:jc w:val="center"/>
              <w:rPr>
                <w:rFonts w:ascii="Arial" w:hAnsi="Arial"/>
                <w:sz w:val="22"/>
                <w:szCs w:val="20"/>
              </w:rPr>
            </w:pPr>
            <w:r w:rsidRPr="00941588">
              <w:rPr>
                <w:rFonts w:ascii="Arial" w:hAnsi="Arial"/>
                <w:sz w:val="22"/>
                <w:szCs w:val="20"/>
              </w:rPr>
              <w:t>Reporting Limit (mg/L)</w:t>
            </w:r>
          </w:p>
        </w:tc>
      </w:tr>
      <w:tr w:rsidR="00C44E3F" w:rsidTr="000F0A5D">
        <w:trPr>
          <w:jc w:val="center"/>
        </w:trPr>
        <w:tc>
          <w:tcPr>
            <w:tcW w:w="2358" w:type="dxa"/>
          </w:tcPr>
          <w:p w:rsidR="00C44E3F" w:rsidRPr="00941588" w:rsidRDefault="00C44E3F" w:rsidP="000F0A5D">
            <w:pPr>
              <w:jc w:val="center"/>
              <w:rPr>
                <w:rFonts w:ascii="Arial" w:hAnsi="Arial"/>
                <w:sz w:val="22"/>
                <w:szCs w:val="20"/>
              </w:rPr>
            </w:pPr>
            <w:r w:rsidRPr="00941588">
              <w:rPr>
                <w:rFonts w:ascii="Arial" w:hAnsi="Arial"/>
                <w:sz w:val="22"/>
                <w:szCs w:val="20"/>
              </w:rPr>
              <w:t>1000</w:t>
            </w:r>
          </w:p>
        </w:tc>
        <w:tc>
          <w:tcPr>
            <w:tcW w:w="2520" w:type="dxa"/>
          </w:tcPr>
          <w:p w:rsidR="00C44E3F" w:rsidRPr="00941588" w:rsidRDefault="00C44E3F" w:rsidP="000F0A5D">
            <w:pPr>
              <w:jc w:val="center"/>
              <w:rPr>
                <w:rFonts w:ascii="Arial" w:hAnsi="Arial"/>
                <w:sz w:val="22"/>
                <w:szCs w:val="20"/>
              </w:rPr>
            </w:pPr>
            <w:r w:rsidRPr="00941588">
              <w:rPr>
                <w:rFonts w:ascii="Arial" w:hAnsi="Arial"/>
                <w:sz w:val="22"/>
                <w:szCs w:val="20"/>
              </w:rPr>
              <w:t>1.0</w:t>
            </w:r>
          </w:p>
        </w:tc>
      </w:tr>
      <w:tr w:rsidR="00C44E3F" w:rsidTr="000F0A5D">
        <w:trPr>
          <w:jc w:val="center"/>
        </w:trPr>
        <w:tc>
          <w:tcPr>
            <w:tcW w:w="2358" w:type="dxa"/>
          </w:tcPr>
          <w:p w:rsidR="00C44E3F" w:rsidRPr="00941588" w:rsidRDefault="00C44E3F" w:rsidP="000F0A5D">
            <w:pPr>
              <w:jc w:val="center"/>
              <w:rPr>
                <w:rFonts w:ascii="Arial" w:hAnsi="Arial"/>
                <w:sz w:val="22"/>
                <w:szCs w:val="20"/>
              </w:rPr>
            </w:pPr>
            <w:r w:rsidRPr="00941588">
              <w:rPr>
                <w:rFonts w:ascii="Arial" w:hAnsi="Arial"/>
                <w:sz w:val="22"/>
                <w:szCs w:val="20"/>
              </w:rPr>
              <w:t>900</w:t>
            </w:r>
          </w:p>
        </w:tc>
        <w:tc>
          <w:tcPr>
            <w:tcW w:w="2520" w:type="dxa"/>
          </w:tcPr>
          <w:p w:rsidR="00C44E3F" w:rsidRPr="00941588" w:rsidRDefault="00C44E3F" w:rsidP="000F0A5D">
            <w:pPr>
              <w:jc w:val="center"/>
              <w:rPr>
                <w:rFonts w:ascii="Arial" w:hAnsi="Arial"/>
                <w:sz w:val="22"/>
                <w:szCs w:val="20"/>
              </w:rPr>
            </w:pPr>
            <w:r w:rsidRPr="00941588">
              <w:rPr>
                <w:rFonts w:ascii="Arial" w:hAnsi="Arial"/>
                <w:sz w:val="22"/>
                <w:szCs w:val="20"/>
              </w:rPr>
              <w:t>1.1</w:t>
            </w:r>
          </w:p>
        </w:tc>
      </w:tr>
      <w:tr w:rsidR="00C44E3F" w:rsidTr="000F0A5D">
        <w:trPr>
          <w:jc w:val="center"/>
        </w:trPr>
        <w:tc>
          <w:tcPr>
            <w:tcW w:w="2358" w:type="dxa"/>
          </w:tcPr>
          <w:p w:rsidR="00C44E3F" w:rsidRPr="00941588" w:rsidRDefault="00C44E3F" w:rsidP="000F0A5D">
            <w:pPr>
              <w:jc w:val="center"/>
              <w:rPr>
                <w:rFonts w:ascii="Arial" w:hAnsi="Arial"/>
                <w:sz w:val="22"/>
                <w:szCs w:val="20"/>
              </w:rPr>
            </w:pPr>
            <w:r w:rsidRPr="00941588">
              <w:rPr>
                <w:rFonts w:ascii="Arial" w:hAnsi="Arial"/>
                <w:sz w:val="22"/>
                <w:szCs w:val="20"/>
              </w:rPr>
              <w:t>800</w:t>
            </w:r>
          </w:p>
        </w:tc>
        <w:tc>
          <w:tcPr>
            <w:tcW w:w="2520" w:type="dxa"/>
          </w:tcPr>
          <w:p w:rsidR="00C44E3F" w:rsidRPr="00941588" w:rsidRDefault="00C44E3F" w:rsidP="000F0A5D">
            <w:pPr>
              <w:jc w:val="center"/>
              <w:rPr>
                <w:rFonts w:ascii="Arial" w:hAnsi="Arial"/>
                <w:sz w:val="22"/>
                <w:szCs w:val="20"/>
              </w:rPr>
            </w:pPr>
            <w:r w:rsidRPr="00941588">
              <w:rPr>
                <w:rFonts w:ascii="Arial" w:hAnsi="Arial"/>
                <w:sz w:val="22"/>
                <w:szCs w:val="20"/>
              </w:rPr>
              <w:t>1.3</w:t>
            </w:r>
          </w:p>
        </w:tc>
      </w:tr>
      <w:tr w:rsidR="00C44E3F" w:rsidTr="000F0A5D">
        <w:trPr>
          <w:jc w:val="center"/>
        </w:trPr>
        <w:tc>
          <w:tcPr>
            <w:tcW w:w="2358" w:type="dxa"/>
          </w:tcPr>
          <w:p w:rsidR="00C44E3F" w:rsidRPr="00941588" w:rsidRDefault="00C44E3F" w:rsidP="000F0A5D">
            <w:pPr>
              <w:jc w:val="center"/>
              <w:rPr>
                <w:rFonts w:ascii="Arial" w:hAnsi="Arial"/>
                <w:sz w:val="22"/>
                <w:szCs w:val="20"/>
              </w:rPr>
            </w:pPr>
            <w:r w:rsidRPr="00941588">
              <w:rPr>
                <w:rFonts w:ascii="Arial" w:hAnsi="Arial"/>
                <w:sz w:val="22"/>
                <w:szCs w:val="20"/>
              </w:rPr>
              <w:t>700</w:t>
            </w:r>
          </w:p>
        </w:tc>
        <w:tc>
          <w:tcPr>
            <w:tcW w:w="2520" w:type="dxa"/>
          </w:tcPr>
          <w:p w:rsidR="00C44E3F" w:rsidRPr="00941588" w:rsidRDefault="00C44E3F" w:rsidP="000F0A5D">
            <w:pPr>
              <w:jc w:val="center"/>
              <w:rPr>
                <w:rFonts w:ascii="Arial" w:hAnsi="Arial"/>
                <w:sz w:val="22"/>
                <w:szCs w:val="20"/>
              </w:rPr>
            </w:pPr>
            <w:r w:rsidRPr="00941588">
              <w:rPr>
                <w:rFonts w:ascii="Arial" w:hAnsi="Arial"/>
                <w:sz w:val="22"/>
                <w:szCs w:val="20"/>
              </w:rPr>
              <w:t>1.4</w:t>
            </w:r>
          </w:p>
        </w:tc>
      </w:tr>
      <w:tr w:rsidR="00C44E3F" w:rsidTr="000F0A5D">
        <w:trPr>
          <w:jc w:val="center"/>
        </w:trPr>
        <w:tc>
          <w:tcPr>
            <w:tcW w:w="2358" w:type="dxa"/>
          </w:tcPr>
          <w:p w:rsidR="00C44E3F" w:rsidRPr="00941588" w:rsidRDefault="00C44E3F" w:rsidP="000F0A5D">
            <w:pPr>
              <w:jc w:val="center"/>
              <w:rPr>
                <w:rFonts w:ascii="Arial" w:hAnsi="Arial"/>
                <w:sz w:val="22"/>
                <w:szCs w:val="20"/>
              </w:rPr>
            </w:pPr>
            <w:r w:rsidRPr="00941588">
              <w:rPr>
                <w:rFonts w:ascii="Arial" w:hAnsi="Arial"/>
                <w:sz w:val="22"/>
                <w:szCs w:val="20"/>
              </w:rPr>
              <w:t>600</w:t>
            </w:r>
          </w:p>
        </w:tc>
        <w:tc>
          <w:tcPr>
            <w:tcW w:w="2520" w:type="dxa"/>
          </w:tcPr>
          <w:p w:rsidR="00C44E3F" w:rsidRPr="00941588" w:rsidRDefault="00C44E3F" w:rsidP="000F0A5D">
            <w:pPr>
              <w:jc w:val="center"/>
              <w:rPr>
                <w:rFonts w:ascii="Arial" w:hAnsi="Arial"/>
                <w:sz w:val="22"/>
                <w:szCs w:val="20"/>
              </w:rPr>
            </w:pPr>
            <w:r w:rsidRPr="00941588">
              <w:rPr>
                <w:rFonts w:ascii="Arial" w:hAnsi="Arial"/>
                <w:sz w:val="22"/>
                <w:szCs w:val="20"/>
              </w:rPr>
              <w:t>1.7</w:t>
            </w:r>
          </w:p>
        </w:tc>
      </w:tr>
      <w:tr w:rsidR="00C44E3F" w:rsidTr="000F0A5D">
        <w:trPr>
          <w:jc w:val="center"/>
        </w:trPr>
        <w:tc>
          <w:tcPr>
            <w:tcW w:w="2358" w:type="dxa"/>
          </w:tcPr>
          <w:p w:rsidR="00C44E3F" w:rsidRPr="00941588" w:rsidRDefault="00C44E3F" w:rsidP="000F0A5D">
            <w:pPr>
              <w:jc w:val="center"/>
              <w:rPr>
                <w:rFonts w:ascii="Arial" w:hAnsi="Arial"/>
                <w:sz w:val="22"/>
                <w:szCs w:val="20"/>
              </w:rPr>
            </w:pPr>
            <w:r w:rsidRPr="00941588">
              <w:rPr>
                <w:rFonts w:ascii="Arial" w:hAnsi="Arial"/>
                <w:sz w:val="22"/>
                <w:szCs w:val="20"/>
              </w:rPr>
              <w:t>500</w:t>
            </w:r>
          </w:p>
        </w:tc>
        <w:tc>
          <w:tcPr>
            <w:tcW w:w="2520" w:type="dxa"/>
          </w:tcPr>
          <w:p w:rsidR="00C44E3F" w:rsidRPr="00941588" w:rsidRDefault="00C44E3F" w:rsidP="000F0A5D">
            <w:pPr>
              <w:jc w:val="center"/>
              <w:rPr>
                <w:rFonts w:ascii="Arial" w:hAnsi="Arial"/>
                <w:sz w:val="22"/>
                <w:szCs w:val="20"/>
              </w:rPr>
            </w:pPr>
            <w:r w:rsidRPr="00941588">
              <w:rPr>
                <w:rFonts w:ascii="Arial" w:hAnsi="Arial"/>
                <w:sz w:val="22"/>
                <w:szCs w:val="20"/>
              </w:rPr>
              <w:t>2.0</w:t>
            </w:r>
          </w:p>
        </w:tc>
      </w:tr>
      <w:tr w:rsidR="00C44E3F" w:rsidTr="000F0A5D">
        <w:trPr>
          <w:jc w:val="center"/>
        </w:trPr>
        <w:tc>
          <w:tcPr>
            <w:tcW w:w="2358" w:type="dxa"/>
          </w:tcPr>
          <w:p w:rsidR="00C44E3F" w:rsidRPr="00941588" w:rsidRDefault="00C44E3F" w:rsidP="000F0A5D">
            <w:pPr>
              <w:jc w:val="center"/>
              <w:rPr>
                <w:rFonts w:ascii="Arial" w:hAnsi="Arial"/>
                <w:sz w:val="22"/>
                <w:szCs w:val="20"/>
              </w:rPr>
            </w:pPr>
            <w:r w:rsidRPr="00941588">
              <w:rPr>
                <w:rFonts w:ascii="Arial" w:hAnsi="Arial"/>
                <w:sz w:val="22"/>
                <w:szCs w:val="20"/>
              </w:rPr>
              <w:t>400</w:t>
            </w:r>
          </w:p>
        </w:tc>
        <w:tc>
          <w:tcPr>
            <w:tcW w:w="2520" w:type="dxa"/>
          </w:tcPr>
          <w:p w:rsidR="00C44E3F" w:rsidRPr="00941588" w:rsidRDefault="00C44E3F" w:rsidP="000F0A5D">
            <w:pPr>
              <w:jc w:val="center"/>
              <w:rPr>
                <w:rFonts w:ascii="Arial" w:hAnsi="Arial"/>
                <w:sz w:val="22"/>
                <w:szCs w:val="20"/>
              </w:rPr>
            </w:pPr>
            <w:r w:rsidRPr="00941588">
              <w:rPr>
                <w:rFonts w:ascii="Arial" w:hAnsi="Arial"/>
                <w:sz w:val="22"/>
                <w:szCs w:val="20"/>
              </w:rPr>
              <w:t>2.5</w:t>
            </w:r>
          </w:p>
        </w:tc>
      </w:tr>
      <w:tr w:rsidR="00C44E3F" w:rsidTr="000F0A5D">
        <w:trPr>
          <w:jc w:val="center"/>
        </w:trPr>
        <w:tc>
          <w:tcPr>
            <w:tcW w:w="2358" w:type="dxa"/>
          </w:tcPr>
          <w:p w:rsidR="00C44E3F" w:rsidRPr="00941588" w:rsidRDefault="00C44E3F" w:rsidP="000F0A5D">
            <w:pPr>
              <w:jc w:val="center"/>
              <w:rPr>
                <w:rFonts w:ascii="Arial" w:hAnsi="Arial"/>
                <w:sz w:val="22"/>
                <w:szCs w:val="20"/>
              </w:rPr>
            </w:pPr>
            <w:r w:rsidRPr="00941588">
              <w:rPr>
                <w:rFonts w:ascii="Arial" w:hAnsi="Arial"/>
                <w:sz w:val="22"/>
                <w:szCs w:val="20"/>
              </w:rPr>
              <w:t>300</w:t>
            </w:r>
          </w:p>
        </w:tc>
        <w:tc>
          <w:tcPr>
            <w:tcW w:w="2520" w:type="dxa"/>
          </w:tcPr>
          <w:p w:rsidR="00C44E3F" w:rsidRPr="00941588" w:rsidRDefault="00C44E3F" w:rsidP="000F0A5D">
            <w:pPr>
              <w:jc w:val="center"/>
              <w:rPr>
                <w:rFonts w:ascii="Arial" w:hAnsi="Arial"/>
                <w:sz w:val="22"/>
                <w:szCs w:val="20"/>
              </w:rPr>
            </w:pPr>
            <w:r w:rsidRPr="00941588">
              <w:rPr>
                <w:rFonts w:ascii="Arial" w:hAnsi="Arial"/>
                <w:sz w:val="22"/>
                <w:szCs w:val="20"/>
              </w:rPr>
              <w:t>3.3</w:t>
            </w:r>
          </w:p>
        </w:tc>
      </w:tr>
      <w:tr w:rsidR="00C44E3F" w:rsidTr="000F0A5D">
        <w:trPr>
          <w:jc w:val="center"/>
        </w:trPr>
        <w:tc>
          <w:tcPr>
            <w:tcW w:w="2358" w:type="dxa"/>
          </w:tcPr>
          <w:p w:rsidR="00C44E3F" w:rsidRPr="00941588" w:rsidRDefault="00C44E3F" w:rsidP="000F0A5D">
            <w:pPr>
              <w:jc w:val="center"/>
              <w:rPr>
                <w:rFonts w:ascii="Arial" w:hAnsi="Arial"/>
                <w:sz w:val="22"/>
                <w:szCs w:val="20"/>
              </w:rPr>
            </w:pPr>
            <w:r w:rsidRPr="00941588">
              <w:rPr>
                <w:rFonts w:ascii="Arial" w:hAnsi="Arial"/>
                <w:sz w:val="22"/>
                <w:szCs w:val="20"/>
              </w:rPr>
              <w:t>200</w:t>
            </w:r>
          </w:p>
        </w:tc>
        <w:tc>
          <w:tcPr>
            <w:tcW w:w="2520" w:type="dxa"/>
          </w:tcPr>
          <w:p w:rsidR="00C44E3F" w:rsidRPr="00941588" w:rsidRDefault="00C44E3F" w:rsidP="000F0A5D">
            <w:pPr>
              <w:jc w:val="center"/>
              <w:rPr>
                <w:rFonts w:ascii="Arial" w:hAnsi="Arial"/>
                <w:sz w:val="22"/>
                <w:szCs w:val="20"/>
              </w:rPr>
            </w:pPr>
            <w:r w:rsidRPr="00941588">
              <w:rPr>
                <w:rFonts w:ascii="Arial" w:hAnsi="Arial"/>
                <w:sz w:val="22"/>
                <w:szCs w:val="20"/>
              </w:rPr>
              <w:t>5.0</w:t>
            </w:r>
          </w:p>
        </w:tc>
      </w:tr>
      <w:tr w:rsidR="00C44E3F" w:rsidTr="000F0A5D">
        <w:trPr>
          <w:jc w:val="center"/>
        </w:trPr>
        <w:tc>
          <w:tcPr>
            <w:tcW w:w="2358" w:type="dxa"/>
          </w:tcPr>
          <w:p w:rsidR="00C44E3F" w:rsidRPr="00941588" w:rsidRDefault="00C44E3F" w:rsidP="000F0A5D">
            <w:pPr>
              <w:jc w:val="center"/>
              <w:rPr>
                <w:rFonts w:ascii="Arial" w:hAnsi="Arial"/>
                <w:sz w:val="22"/>
                <w:szCs w:val="20"/>
              </w:rPr>
            </w:pPr>
            <w:r w:rsidRPr="00941588">
              <w:rPr>
                <w:rFonts w:ascii="Arial" w:hAnsi="Arial"/>
                <w:sz w:val="22"/>
                <w:szCs w:val="20"/>
              </w:rPr>
              <w:t>100</w:t>
            </w:r>
          </w:p>
        </w:tc>
        <w:tc>
          <w:tcPr>
            <w:tcW w:w="2520" w:type="dxa"/>
          </w:tcPr>
          <w:p w:rsidR="00C44E3F" w:rsidRPr="00941588" w:rsidRDefault="00C44E3F" w:rsidP="000F0A5D">
            <w:pPr>
              <w:jc w:val="center"/>
              <w:rPr>
                <w:rFonts w:ascii="Arial" w:hAnsi="Arial"/>
                <w:sz w:val="22"/>
                <w:szCs w:val="20"/>
              </w:rPr>
            </w:pPr>
            <w:r w:rsidRPr="00941588">
              <w:rPr>
                <w:rFonts w:ascii="Arial" w:hAnsi="Arial"/>
                <w:sz w:val="22"/>
                <w:szCs w:val="20"/>
              </w:rPr>
              <w:t>10</w:t>
            </w:r>
          </w:p>
        </w:tc>
      </w:tr>
      <w:tr w:rsidR="00C44E3F" w:rsidTr="000F0A5D">
        <w:trPr>
          <w:jc w:val="center"/>
        </w:trPr>
        <w:tc>
          <w:tcPr>
            <w:tcW w:w="2358" w:type="dxa"/>
          </w:tcPr>
          <w:p w:rsidR="00C44E3F" w:rsidRPr="00941588" w:rsidRDefault="00C44E3F" w:rsidP="000F0A5D">
            <w:pPr>
              <w:jc w:val="center"/>
              <w:rPr>
                <w:rFonts w:ascii="Arial" w:hAnsi="Arial"/>
                <w:sz w:val="22"/>
                <w:szCs w:val="20"/>
              </w:rPr>
            </w:pPr>
            <w:r w:rsidRPr="00941588">
              <w:rPr>
                <w:rFonts w:ascii="Arial" w:hAnsi="Arial"/>
                <w:sz w:val="22"/>
                <w:szCs w:val="20"/>
              </w:rPr>
              <w:t>50</w:t>
            </w:r>
          </w:p>
        </w:tc>
        <w:tc>
          <w:tcPr>
            <w:tcW w:w="2520" w:type="dxa"/>
          </w:tcPr>
          <w:p w:rsidR="00C44E3F" w:rsidRPr="00941588" w:rsidRDefault="00C44E3F" w:rsidP="000F0A5D">
            <w:pPr>
              <w:jc w:val="center"/>
              <w:rPr>
                <w:rFonts w:ascii="Arial" w:hAnsi="Arial"/>
                <w:sz w:val="22"/>
                <w:szCs w:val="20"/>
              </w:rPr>
            </w:pPr>
            <w:r w:rsidRPr="00941588">
              <w:rPr>
                <w:rFonts w:ascii="Arial" w:hAnsi="Arial"/>
                <w:sz w:val="22"/>
                <w:szCs w:val="20"/>
              </w:rPr>
              <w:t>20</w:t>
            </w:r>
          </w:p>
        </w:tc>
      </w:tr>
    </w:tbl>
    <w:p w:rsidR="00C44E3F" w:rsidRDefault="00C44E3F" w:rsidP="00C44E3F">
      <w:pPr>
        <w:pStyle w:val="11SOP"/>
        <w:numPr>
          <w:ilvl w:val="0"/>
          <w:numId w:val="0"/>
        </w:numPr>
        <w:ind w:left="1440"/>
      </w:pPr>
    </w:p>
    <w:p w:rsidR="00F609CE" w:rsidRDefault="009A36E9" w:rsidP="00F609CE">
      <w:pPr>
        <w:pStyle w:val="10SOP"/>
      </w:pPr>
      <w:bookmarkStart w:id="2" w:name="_Hlk519696836"/>
      <w:r>
        <w:t>QC Data Assessment, Acceptance Criteria, and Corrective Actions and Contingencies for Out-of-Control QC Measures</w:t>
      </w:r>
      <w:bookmarkEnd w:id="2"/>
    </w:p>
    <w:p w:rsidR="00F609CE" w:rsidRDefault="00F609CE" w:rsidP="00F609CE">
      <w:pPr>
        <w:pStyle w:val="11SOP"/>
      </w:pPr>
      <w:r>
        <w:t xml:space="preserve">The </w:t>
      </w:r>
      <w:r w:rsidR="00197446">
        <w:t>Proficiency Testing (PT</w:t>
      </w:r>
      <w:r>
        <w:t xml:space="preserve">) sample must be within the criteria of the provider. </w:t>
      </w:r>
      <w:r w:rsidR="003A4455">
        <w:t>If the criteria limits are not met, the technician must immediately order another sample to be analyzed.</w:t>
      </w:r>
    </w:p>
    <w:p w:rsidR="003A4455" w:rsidRPr="00912885" w:rsidRDefault="003A4455" w:rsidP="00F609CE">
      <w:pPr>
        <w:pStyle w:val="11SOP"/>
      </w:pPr>
      <w:r>
        <w:t xml:space="preserve">Qualify all TSS results on the bench sheet and the eDMR if the oven temperature is not within 103 - </w:t>
      </w:r>
      <w:proofErr w:type="spellStart"/>
      <w:r>
        <w:t>105°C</w:t>
      </w:r>
      <w:proofErr w:type="spellEnd"/>
      <w:r>
        <w:t xml:space="preserve"> (if overnight, then check both when placed in the oven and when taken out)</w:t>
      </w:r>
      <w:r>
        <w:rPr>
          <w:snapToGrid w:val="0"/>
        </w:rPr>
        <w:t>.</w:t>
      </w:r>
      <w:r w:rsidR="00912885">
        <w:rPr>
          <w:snapToGrid w:val="0"/>
        </w:rPr>
        <w:t xml:space="preserve">  </w:t>
      </w:r>
    </w:p>
    <w:p w:rsidR="00F609CE" w:rsidRDefault="00912885" w:rsidP="00AC4622">
      <w:pPr>
        <w:pStyle w:val="111SOP"/>
        <w:ind w:hanging="990"/>
      </w:pPr>
      <w:r>
        <w:t>Samples that fail the Quality Control will have to be qualified back to the last date that the quality control met the above conditions.</w:t>
      </w:r>
      <w:r w:rsidR="00A25956">
        <w:t xml:space="preserve">  Include a lab comment on the </w:t>
      </w:r>
      <w:proofErr w:type="spellStart"/>
      <w:r w:rsidR="00A25956">
        <w:t>DMR</w:t>
      </w:r>
      <w:proofErr w:type="spellEnd"/>
      <w:r w:rsidR="00A25956">
        <w:t>.</w:t>
      </w:r>
    </w:p>
    <w:p w:rsidR="00646BA8" w:rsidRPr="00646BA8" w:rsidRDefault="00646BA8" w:rsidP="00646BA8">
      <w:pPr>
        <w:pStyle w:val="11SOP"/>
      </w:pPr>
      <w:r w:rsidRPr="00646BA8">
        <w:t xml:space="preserve">If it is discovered during the drying period or at the end of the drying period that samples are being dried at a temperature below </w:t>
      </w:r>
      <w:proofErr w:type="spellStart"/>
      <w:r w:rsidRPr="00646BA8">
        <w:t>103°C</w:t>
      </w:r>
      <w:proofErr w:type="spellEnd"/>
      <w:r w:rsidRPr="00646BA8">
        <w:t>, the laboratory can adjust the oven temperatu</w:t>
      </w:r>
      <w:r w:rsidR="0018358C">
        <w:t>re until it is back within 103 -</w:t>
      </w:r>
      <w:r w:rsidRPr="00646BA8">
        <w:t xml:space="preserve"> </w:t>
      </w:r>
      <w:proofErr w:type="spellStart"/>
      <w:r w:rsidRPr="00646BA8">
        <w:t>105°C</w:t>
      </w:r>
      <w:proofErr w:type="spellEnd"/>
      <w:r w:rsidRPr="00646BA8">
        <w:t>, and let the samples dry again ove</w:t>
      </w:r>
      <w:r w:rsidR="0018358C">
        <w:t>rnight. Document the adjustment</w:t>
      </w:r>
      <w:r w:rsidRPr="00646BA8">
        <w:t xml:space="preserve"> </w:t>
      </w:r>
      <w:r w:rsidR="0018358C">
        <w:t>(</w:t>
      </w:r>
      <w:r w:rsidRPr="00646BA8">
        <w:t>as an example</w:t>
      </w:r>
      <w:r w:rsidR="0018358C">
        <w:t>, record</w:t>
      </w:r>
      <w:r w:rsidRPr="00646BA8">
        <w:t xml:space="preserve"> an “arrow up”</w:t>
      </w:r>
      <w:r w:rsidR="0018358C">
        <w:t>)</w:t>
      </w:r>
      <w:r w:rsidRPr="00646BA8">
        <w:t xml:space="preserve"> next to your temperature recordings for the TSS oven.  In this case, no data qualification is needed because the minimum drying period at the required temperatures will still be achieved.   </w:t>
      </w:r>
    </w:p>
    <w:p w:rsidR="00646BA8" w:rsidRDefault="00646BA8" w:rsidP="00646BA8">
      <w:pPr>
        <w:pStyle w:val="11SOP"/>
        <w:numPr>
          <w:ilvl w:val="1"/>
          <w:numId w:val="7"/>
        </w:numPr>
      </w:pPr>
      <w:r w:rsidRPr="00646BA8">
        <w:t xml:space="preserve">If it is discovered during the drying period or at the end of the drying period that samples are being dried at a temperature above </w:t>
      </w:r>
      <w:proofErr w:type="spellStart"/>
      <w:r w:rsidRPr="00646BA8">
        <w:t>105°C</w:t>
      </w:r>
      <w:proofErr w:type="spellEnd"/>
      <w:r w:rsidRPr="00646BA8">
        <w:t xml:space="preserve"> then there is no way to achieve the method requirement.  The laboratory can adjust the oven temperature unti</w:t>
      </w:r>
      <w:r w:rsidR="0018358C">
        <w:t>l it is back within 103 -</w:t>
      </w:r>
      <w:r w:rsidRPr="00646BA8">
        <w:t xml:space="preserve"> </w:t>
      </w:r>
      <w:proofErr w:type="spellStart"/>
      <w:r w:rsidRPr="00646BA8">
        <w:t>105°C</w:t>
      </w:r>
      <w:proofErr w:type="spellEnd"/>
      <w:r w:rsidRPr="00646BA8">
        <w:t xml:space="preserve">, and let the sample dry for the remaining required time.  However, in this case, all the samples in the oven must be qualified on the eDMR as having been dried at a temperature greater than </w:t>
      </w:r>
      <w:proofErr w:type="spellStart"/>
      <w:r w:rsidRPr="00646BA8">
        <w:t>10</w:t>
      </w:r>
      <w:r w:rsidR="0018358C">
        <w:t>5°C</w:t>
      </w:r>
      <w:proofErr w:type="spellEnd"/>
      <w:r w:rsidR="0018358C">
        <w:t xml:space="preserve"> for some period.  Also</w:t>
      </w:r>
      <w:r w:rsidRPr="00646BA8">
        <w:t>, a formal corrective action record needs to be documented because the resulting data needs to be qualified.</w:t>
      </w:r>
    </w:p>
    <w:p w:rsidR="009A36E9" w:rsidRPr="00C320B8" w:rsidRDefault="009A36E9" w:rsidP="00C320B8">
      <w:pPr>
        <w:pStyle w:val="11SOP"/>
      </w:pPr>
      <w:r>
        <w:t>For any of the above items, complete the Corrective Actions Log and resolve the problem.  Notify the Supervisor.</w:t>
      </w:r>
    </w:p>
    <w:p w:rsidR="009A36E9" w:rsidRDefault="009A36E9" w:rsidP="00F609CE">
      <w:pPr>
        <w:pStyle w:val="11SOP"/>
      </w:pPr>
      <w:r>
        <w:lastRenderedPageBreak/>
        <w:t xml:space="preserve">The residue of the sample must be between 1.0 and 200 mg.  If not, the test should be repeated with </w:t>
      </w:r>
      <w:proofErr w:type="gramStart"/>
      <w:r>
        <w:t>more or less sample</w:t>
      </w:r>
      <w:proofErr w:type="gramEnd"/>
      <w:r>
        <w:t xml:space="preserve"> as appropriate.</w:t>
      </w:r>
    </w:p>
    <w:p w:rsidR="009A36E9" w:rsidRDefault="009A36E9" w:rsidP="00F609CE">
      <w:pPr>
        <w:pStyle w:val="11SOP"/>
      </w:pPr>
      <w:r>
        <w:t>The balance weights used to calibrate the analytical balance must meet ASTM class 1 or 2 tolerances and be checked every 5 years by an outside source and certified by that source. If no longer within compliance, new weights must be purchased.</w:t>
      </w:r>
    </w:p>
    <w:p w:rsidR="00BB74AE" w:rsidRDefault="00BB74AE" w:rsidP="00BB74AE">
      <w:pPr>
        <w:pStyle w:val="10SOP"/>
      </w:pPr>
      <w:r>
        <w:t>Pollution Prevention</w:t>
      </w:r>
    </w:p>
    <w:p w:rsidR="00BB74AE" w:rsidRDefault="00BB74AE" w:rsidP="00BB74AE">
      <w:pPr>
        <w:pStyle w:val="11SOP"/>
      </w:pPr>
      <w:r>
        <w:rPr>
          <w:snapToGrid w:val="0"/>
        </w:rPr>
        <w:t>Consider environmental impact when purchasing materials, handling chemicals, and disposing of wastes.</w:t>
      </w:r>
    </w:p>
    <w:p w:rsidR="00BB74AE" w:rsidRDefault="00BB74AE" w:rsidP="00BB74AE">
      <w:pPr>
        <w:pStyle w:val="11SOP"/>
      </w:pPr>
      <w:r>
        <w:rPr>
          <w:snapToGrid w:val="0"/>
        </w:rPr>
        <w:t>Prevent pollution at the source whenever possible.</w:t>
      </w:r>
    </w:p>
    <w:p w:rsidR="00F609CE" w:rsidRDefault="00F609CE" w:rsidP="00F609CE">
      <w:pPr>
        <w:pStyle w:val="10SOP"/>
      </w:pPr>
      <w:r>
        <w:t>Waste Management</w:t>
      </w:r>
    </w:p>
    <w:p w:rsidR="00F609CE" w:rsidRDefault="00D817F9" w:rsidP="00F609CE">
      <w:pPr>
        <w:pStyle w:val="11SOP"/>
      </w:pPr>
      <w:r>
        <w:t>All laboratory waste, excess reagents, and samples must be disposed of in a manner that is consistent with applicable rules and regulations.</w:t>
      </w:r>
    </w:p>
    <w:p w:rsidR="00D715D0" w:rsidRDefault="00F609CE" w:rsidP="00D715D0">
      <w:pPr>
        <w:pStyle w:val="10SOP"/>
      </w:pPr>
      <w:r>
        <w:t>References</w:t>
      </w:r>
    </w:p>
    <w:p w:rsidR="00C320B8" w:rsidRDefault="00C320B8" w:rsidP="00D715D0">
      <w:pPr>
        <w:pStyle w:val="11SOP"/>
      </w:pPr>
      <w:r>
        <w:t>Standard Methods for the Examination of Water and Wastewater, Method 2540</w:t>
      </w:r>
      <w:r w:rsidR="0060430D">
        <w:t xml:space="preserve"> </w:t>
      </w:r>
      <w:r>
        <w:t>D, 1997.</w:t>
      </w:r>
    </w:p>
    <w:p w:rsidR="00D817F9" w:rsidRDefault="00FD0F20" w:rsidP="00D817F9">
      <w:pPr>
        <w:pStyle w:val="10SOP"/>
      </w:pPr>
      <w:bookmarkStart w:id="3" w:name="_Hlk513536358"/>
      <w:r>
        <w:t>Disclaimer</w:t>
      </w:r>
    </w:p>
    <w:p w:rsidR="00F609CE" w:rsidRDefault="00FD0F20" w:rsidP="00D817F9">
      <w:pPr>
        <w:pStyle w:val="11SOP"/>
      </w:pPr>
      <w:r w:rsidRPr="00182C12">
        <w:t>The mentioning of company or product names does not constitute endorsement by the Wisconsin Department of Natural Resources or the authors.</w:t>
      </w:r>
      <w:bookmarkEnd w:id="3"/>
    </w:p>
    <w:sectPr w:rsidR="00F609CE" w:rsidSect="00FD0F20">
      <w:headerReference w:type="even" r:id="rId7"/>
      <w:headerReference w:type="default" r:id="rId8"/>
      <w:footerReference w:type="even" r:id="rId9"/>
      <w:footerReference w:type="default" r:id="rId10"/>
      <w:headerReference w:type="first" r:id="rId11"/>
      <w:footerReference w:type="first" r:id="rId12"/>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7B0D" w:rsidRDefault="00A27B0D">
      <w:r>
        <w:separator/>
      </w:r>
    </w:p>
  </w:endnote>
  <w:endnote w:type="continuationSeparator" w:id="0">
    <w:p w:rsidR="00A27B0D" w:rsidRDefault="00A27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2E26" w:rsidRDefault="00B82E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2E26" w:rsidRPr="00744A9C" w:rsidRDefault="00B82E26" w:rsidP="00744A9C">
    <w:pPr>
      <w:pStyle w:val="Footer"/>
      <w:jc w:val="right"/>
      <w:rPr>
        <w:rFonts w:ascii="Arial" w:hAnsi="Arial" w:cs="Arial"/>
        <w:sz w:val="20"/>
      </w:rPr>
    </w:pPr>
    <w:r w:rsidRPr="00744A9C">
      <w:rPr>
        <w:rFonts w:ascii="Arial" w:hAnsi="Arial" w:cs="Arial"/>
        <w:sz w:val="20"/>
      </w:rPr>
      <w:t xml:space="preserve">Page </w:t>
    </w:r>
    <w:r w:rsidRPr="00744A9C">
      <w:rPr>
        <w:rFonts w:ascii="Arial" w:hAnsi="Arial" w:cs="Arial"/>
        <w:sz w:val="20"/>
      </w:rPr>
      <w:fldChar w:fldCharType="begin"/>
    </w:r>
    <w:r w:rsidRPr="00744A9C">
      <w:rPr>
        <w:rFonts w:ascii="Arial" w:hAnsi="Arial" w:cs="Arial"/>
        <w:sz w:val="20"/>
      </w:rPr>
      <w:instrText xml:space="preserve"> PAGE </w:instrText>
    </w:r>
    <w:r w:rsidRPr="00744A9C">
      <w:rPr>
        <w:rFonts w:ascii="Arial" w:hAnsi="Arial" w:cs="Arial"/>
        <w:sz w:val="20"/>
      </w:rPr>
      <w:fldChar w:fldCharType="separate"/>
    </w:r>
    <w:r w:rsidR="009C3DDB">
      <w:rPr>
        <w:rFonts w:ascii="Arial" w:hAnsi="Arial" w:cs="Arial"/>
        <w:noProof/>
        <w:sz w:val="20"/>
      </w:rPr>
      <w:t>4</w:t>
    </w:r>
    <w:r w:rsidRPr="00744A9C">
      <w:rPr>
        <w:rFonts w:ascii="Arial" w:hAnsi="Arial" w:cs="Arial"/>
        <w:sz w:val="20"/>
      </w:rPr>
      <w:fldChar w:fldCharType="end"/>
    </w:r>
    <w:r w:rsidRPr="00744A9C">
      <w:rPr>
        <w:rFonts w:ascii="Arial" w:hAnsi="Arial" w:cs="Arial"/>
        <w:sz w:val="20"/>
      </w:rPr>
      <w:t xml:space="preserve"> of </w:t>
    </w:r>
    <w:r w:rsidR="005E0B63" w:rsidRPr="00744A9C">
      <w:rPr>
        <w:rFonts w:ascii="Arial" w:hAnsi="Arial" w:cs="Arial"/>
        <w:sz w:val="20"/>
      </w:rPr>
      <w:fldChar w:fldCharType="begin"/>
    </w:r>
    <w:r w:rsidR="005E0B63" w:rsidRPr="00744A9C">
      <w:rPr>
        <w:rFonts w:ascii="Arial" w:hAnsi="Arial" w:cs="Arial"/>
        <w:sz w:val="20"/>
      </w:rPr>
      <w:instrText xml:space="preserve"> NUMPAGES </w:instrText>
    </w:r>
    <w:r w:rsidR="005E0B63" w:rsidRPr="00744A9C">
      <w:rPr>
        <w:rFonts w:ascii="Arial" w:hAnsi="Arial" w:cs="Arial"/>
        <w:sz w:val="20"/>
      </w:rPr>
      <w:fldChar w:fldCharType="separate"/>
    </w:r>
    <w:r w:rsidR="009C3DDB">
      <w:rPr>
        <w:rFonts w:ascii="Arial" w:hAnsi="Arial" w:cs="Arial"/>
        <w:noProof/>
        <w:sz w:val="20"/>
      </w:rPr>
      <w:t>6</w:t>
    </w:r>
    <w:r w:rsidR="005E0B63" w:rsidRPr="00744A9C">
      <w:rPr>
        <w:rFonts w:ascii="Arial" w:hAnsi="Arial" w:cs="Arial"/>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2E26" w:rsidRDefault="00B82E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7B0D" w:rsidRDefault="00A27B0D">
      <w:r>
        <w:separator/>
      </w:r>
    </w:p>
  </w:footnote>
  <w:footnote w:type="continuationSeparator" w:id="0">
    <w:p w:rsidR="00A27B0D" w:rsidRDefault="00A27B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2E26" w:rsidRDefault="00B82E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2E26" w:rsidRPr="0023418D" w:rsidRDefault="00B82E26" w:rsidP="00B82E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2E26" w:rsidRDefault="00B82E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36CA4"/>
    <w:multiLevelType w:val="hybridMultilevel"/>
    <w:tmpl w:val="58D673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070473"/>
    <w:multiLevelType w:val="multilevel"/>
    <w:tmpl w:val="F56A7882"/>
    <w:lvl w:ilvl="0">
      <w:start w:val="1"/>
      <w:numFmt w:val="decimal"/>
      <w:pStyle w:val="10SOP"/>
      <w:lvlText w:val="%1.0"/>
      <w:lvlJc w:val="left"/>
      <w:pPr>
        <w:tabs>
          <w:tab w:val="num" w:pos="720"/>
        </w:tabs>
        <w:ind w:left="720" w:hanging="720"/>
      </w:pPr>
      <w:rPr>
        <w:rFonts w:ascii="Arial" w:hAnsi="Arial" w:hint="default"/>
        <w:b/>
        <w:i w:val="0"/>
        <w:sz w:val="22"/>
      </w:rPr>
    </w:lvl>
    <w:lvl w:ilvl="1">
      <w:start w:val="1"/>
      <w:numFmt w:val="decimal"/>
      <w:pStyle w:val="11SOP"/>
      <w:lvlText w:val="%1.%2"/>
      <w:lvlJc w:val="left"/>
      <w:pPr>
        <w:tabs>
          <w:tab w:val="num" w:pos="1440"/>
        </w:tabs>
        <w:ind w:left="1440" w:hanging="720"/>
      </w:pPr>
      <w:rPr>
        <w:rFonts w:ascii="Arial" w:hAnsi="Arial" w:hint="default"/>
        <w:b/>
        <w:i w:val="0"/>
        <w:sz w:val="22"/>
      </w:rPr>
    </w:lvl>
    <w:lvl w:ilvl="2">
      <w:start w:val="1"/>
      <w:numFmt w:val="decimal"/>
      <w:pStyle w:val="111SOP"/>
      <w:lvlText w:val="%1.%2.%3."/>
      <w:lvlJc w:val="left"/>
      <w:pPr>
        <w:tabs>
          <w:tab w:val="num" w:pos="2430"/>
        </w:tabs>
        <w:ind w:left="2430" w:hanging="1080"/>
      </w:pPr>
      <w:rPr>
        <w:rFonts w:ascii="Arial" w:hAnsi="Arial" w:hint="default"/>
        <w:b/>
        <w:i w:val="0"/>
        <w:sz w:val="22"/>
      </w:rPr>
    </w:lvl>
    <w:lvl w:ilvl="3">
      <w:start w:val="1"/>
      <w:numFmt w:val="decimal"/>
      <w:pStyle w:val="1111SOP"/>
      <w:lvlText w:val="%1.%2.%3.%4."/>
      <w:lvlJc w:val="left"/>
      <w:pPr>
        <w:tabs>
          <w:tab w:val="num" w:pos="3600"/>
        </w:tabs>
        <w:ind w:left="3600" w:hanging="1080"/>
      </w:pPr>
      <w:rPr>
        <w:rFonts w:ascii="Arial" w:hAnsi="Arial" w:hint="default"/>
        <w:b/>
        <w:i w:val="0"/>
        <w:sz w:val="22"/>
      </w:rPr>
    </w:lvl>
    <w:lvl w:ilvl="4">
      <w:start w:val="1"/>
      <w:numFmt w:val="decimal"/>
      <w:pStyle w:val="11111SOP"/>
      <w:lvlText w:val="%1.%2.%3.%4.%5."/>
      <w:lvlJc w:val="left"/>
      <w:pPr>
        <w:tabs>
          <w:tab w:val="num" w:pos="4680"/>
        </w:tabs>
        <w:ind w:left="4680" w:hanging="1080"/>
      </w:pPr>
      <w:rPr>
        <w:rFonts w:ascii="Arial" w:hAnsi="Arial" w:hint="default"/>
        <w:b/>
        <w:i w:val="0"/>
        <w:sz w:val="22"/>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462D6238"/>
    <w:multiLevelType w:val="hybridMultilevel"/>
    <w:tmpl w:val="69F089F0"/>
    <w:lvl w:ilvl="0" w:tplc="04090003">
      <w:start w:val="1"/>
      <w:numFmt w:val="bullet"/>
      <w:lvlText w:val="o"/>
      <w:lvlJc w:val="left"/>
      <w:pPr>
        <w:ind w:left="744" w:hanging="360"/>
      </w:pPr>
      <w:rPr>
        <w:rFonts w:ascii="Courier New" w:hAnsi="Courier New" w:cs="Courier New" w:hint="default"/>
      </w:rPr>
    </w:lvl>
    <w:lvl w:ilvl="1" w:tplc="04090003">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1"/>
  </w:num>
  <w:num w:numId="6">
    <w:abstractNumId w:val="2"/>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9CE"/>
    <w:rsid w:val="00043E6D"/>
    <w:rsid w:val="00046C43"/>
    <w:rsid w:val="00086043"/>
    <w:rsid w:val="000E04B4"/>
    <w:rsid w:val="0010368E"/>
    <w:rsid w:val="001375C1"/>
    <w:rsid w:val="001531C4"/>
    <w:rsid w:val="00171C9E"/>
    <w:rsid w:val="0017617E"/>
    <w:rsid w:val="0018358C"/>
    <w:rsid w:val="00197446"/>
    <w:rsid w:val="001B225C"/>
    <w:rsid w:val="001D1FC6"/>
    <w:rsid w:val="001F3BA7"/>
    <w:rsid w:val="002227A8"/>
    <w:rsid w:val="00226067"/>
    <w:rsid w:val="00250E8D"/>
    <w:rsid w:val="002A0904"/>
    <w:rsid w:val="002E5DA9"/>
    <w:rsid w:val="00334AC4"/>
    <w:rsid w:val="00353D6E"/>
    <w:rsid w:val="00370473"/>
    <w:rsid w:val="00370A84"/>
    <w:rsid w:val="003A4455"/>
    <w:rsid w:val="003C4A57"/>
    <w:rsid w:val="00494426"/>
    <w:rsid w:val="00571F0E"/>
    <w:rsid w:val="005E0B63"/>
    <w:rsid w:val="005E2E37"/>
    <w:rsid w:val="0060430D"/>
    <w:rsid w:val="00630131"/>
    <w:rsid w:val="00646100"/>
    <w:rsid w:val="00646BA8"/>
    <w:rsid w:val="006F320A"/>
    <w:rsid w:val="00723F94"/>
    <w:rsid w:val="00744A9C"/>
    <w:rsid w:val="007E0035"/>
    <w:rsid w:val="00886ABD"/>
    <w:rsid w:val="00912885"/>
    <w:rsid w:val="00923F3F"/>
    <w:rsid w:val="009361C9"/>
    <w:rsid w:val="00941588"/>
    <w:rsid w:val="00950905"/>
    <w:rsid w:val="009A179F"/>
    <w:rsid w:val="009A36E9"/>
    <w:rsid w:val="009A631E"/>
    <w:rsid w:val="009B27B6"/>
    <w:rsid w:val="009C3DDB"/>
    <w:rsid w:val="00A001BC"/>
    <w:rsid w:val="00A25956"/>
    <w:rsid w:val="00A26027"/>
    <w:rsid w:val="00A27B0D"/>
    <w:rsid w:val="00A961CE"/>
    <w:rsid w:val="00AC4622"/>
    <w:rsid w:val="00B135AE"/>
    <w:rsid w:val="00B33AB0"/>
    <w:rsid w:val="00B51864"/>
    <w:rsid w:val="00B71778"/>
    <w:rsid w:val="00B82E26"/>
    <w:rsid w:val="00B971C5"/>
    <w:rsid w:val="00BB74AE"/>
    <w:rsid w:val="00BC382F"/>
    <w:rsid w:val="00BE78D4"/>
    <w:rsid w:val="00C167CC"/>
    <w:rsid w:val="00C320B8"/>
    <w:rsid w:val="00C335C1"/>
    <w:rsid w:val="00C44E3F"/>
    <w:rsid w:val="00C77875"/>
    <w:rsid w:val="00CD34CA"/>
    <w:rsid w:val="00D15C85"/>
    <w:rsid w:val="00D715D0"/>
    <w:rsid w:val="00D817F9"/>
    <w:rsid w:val="00F609CE"/>
    <w:rsid w:val="00F61FC7"/>
    <w:rsid w:val="00FC0CC0"/>
    <w:rsid w:val="00FC7535"/>
    <w:rsid w:val="00FC78FF"/>
    <w:rsid w:val="00FD0F20"/>
    <w:rsid w:val="00FE0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18984"/>
  <w15:chartTrackingRefBased/>
  <w15:docId w15:val="{B55035CF-29C4-4D75-89B2-ECA89F6EC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609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thod">
    <w:name w:val="Method"/>
    <w:basedOn w:val="Normal"/>
    <w:rsid w:val="00F609CE"/>
    <w:pPr>
      <w:tabs>
        <w:tab w:val="left" w:pos="2160"/>
      </w:tabs>
      <w:spacing w:after="240"/>
    </w:pPr>
    <w:rPr>
      <w:rFonts w:ascii="Arial" w:hAnsi="Arial"/>
      <w:sz w:val="22"/>
      <w:szCs w:val="20"/>
    </w:rPr>
  </w:style>
  <w:style w:type="paragraph" w:customStyle="1" w:styleId="Analyte">
    <w:name w:val="Analyte"/>
    <w:basedOn w:val="Method"/>
    <w:rsid w:val="00F609CE"/>
    <w:pPr>
      <w:pBdr>
        <w:bottom w:val="single" w:sz="12" w:space="12" w:color="auto"/>
      </w:pBdr>
    </w:pPr>
  </w:style>
  <w:style w:type="paragraph" w:customStyle="1" w:styleId="10SOP">
    <w:name w:val="1.0 (SOP)"/>
    <w:basedOn w:val="Normal"/>
    <w:rsid w:val="00F609CE"/>
    <w:pPr>
      <w:keepNext/>
      <w:numPr>
        <w:numId w:val="1"/>
      </w:numPr>
      <w:spacing w:after="240"/>
      <w:outlineLvl w:val="0"/>
    </w:pPr>
    <w:rPr>
      <w:rFonts w:ascii="Arial" w:hAnsi="Arial"/>
      <w:b/>
      <w:sz w:val="22"/>
      <w:szCs w:val="20"/>
    </w:rPr>
  </w:style>
  <w:style w:type="paragraph" w:customStyle="1" w:styleId="11SOP">
    <w:name w:val="1.1 (SOP)"/>
    <w:basedOn w:val="Normal"/>
    <w:rsid w:val="00F609CE"/>
    <w:pPr>
      <w:numPr>
        <w:ilvl w:val="1"/>
        <w:numId w:val="1"/>
      </w:numPr>
      <w:spacing w:after="240"/>
      <w:outlineLvl w:val="1"/>
    </w:pPr>
    <w:rPr>
      <w:rFonts w:ascii="Arial" w:hAnsi="Arial"/>
      <w:sz w:val="22"/>
      <w:szCs w:val="20"/>
    </w:rPr>
  </w:style>
  <w:style w:type="paragraph" w:customStyle="1" w:styleId="111SOP">
    <w:name w:val="1.1.1 (SOP)"/>
    <w:basedOn w:val="Normal"/>
    <w:rsid w:val="00F609CE"/>
    <w:pPr>
      <w:numPr>
        <w:ilvl w:val="2"/>
        <w:numId w:val="1"/>
      </w:numPr>
      <w:spacing w:after="240"/>
      <w:outlineLvl w:val="2"/>
    </w:pPr>
    <w:rPr>
      <w:rFonts w:ascii="Arial" w:hAnsi="Arial"/>
      <w:sz w:val="22"/>
      <w:szCs w:val="20"/>
    </w:rPr>
  </w:style>
  <w:style w:type="paragraph" w:customStyle="1" w:styleId="1111SOP">
    <w:name w:val="1.1.1.1 (SOP)"/>
    <w:basedOn w:val="Normal"/>
    <w:rsid w:val="00F609CE"/>
    <w:pPr>
      <w:numPr>
        <w:ilvl w:val="3"/>
        <w:numId w:val="1"/>
      </w:numPr>
      <w:spacing w:after="240"/>
      <w:outlineLvl w:val="3"/>
    </w:pPr>
    <w:rPr>
      <w:rFonts w:ascii="Arial" w:hAnsi="Arial"/>
      <w:sz w:val="22"/>
      <w:szCs w:val="20"/>
    </w:rPr>
  </w:style>
  <w:style w:type="paragraph" w:customStyle="1" w:styleId="Calcsunder11">
    <w:name w:val="Calcs (under 1.1)"/>
    <w:basedOn w:val="Normal"/>
    <w:rsid w:val="00F609CE"/>
    <w:pPr>
      <w:tabs>
        <w:tab w:val="left" w:pos="2160"/>
        <w:tab w:val="center" w:pos="4680"/>
      </w:tabs>
      <w:ind w:left="1440"/>
    </w:pPr>
    <w:rPr>
      <w:rFonts w:ascii="Arial" w:hAnsi="Arial"/>
      <w:sz w:val="20"/>
      <w:szCs w:val="20"/>
    </w:rPr>
  </w:style>
  <w:style w:type="paragraph" w:customStyle="1" w:styleId="11111SOP">
    <w:name w:val="1.1.1.1.1 (SOP)"/>
    <w:basedOn w:val="Normal"/>
    <w:rsid w:val="00F609CE"/>
    <w:pPr>
      <w:numPr>
        <w:ilvl w:val="4"/>
        <w:numId w:val="1"/>
      </w:numPr>
      <w:spacing w:after="240"/>
      <w:outlineLvl w:val="4"/>
    </w:pPr>
    <w:rPr>
      <w:rFonts w:ascii="Arial" w:hAnsi="Arial"/>
      <w:sz w:val="22"/>
      <w:szCs w:val="20"/>
    </w:rPr>
  </w:style>
  <w:style w:type="paragraph" w:styleId="BodyTextIndent">
    <w:name w:val="Body Text Indent"/>
    <w:basedOn w:val="Normal"/>
    <w:rsid w:val="00F609CE"/>
    <w:pPr>
      <w:ind w:left="720"/>
    </w:pPr>
    <w:rPr>
      <w:rFonts w:ascii="Arial" w:hAnsi="Arial"/>
      <w:sz w:val="22"/>
      <w:szCs w:val="20"/>
    </w:rPr>
  </w:style>
  <w:style w:type="paragraph" w:customStyle="1" w:styleId="Title-Method">
    <w:name w:val="Title-Method"/>
    <w:basedOn w:val="Method"/>
    <w:rsid w:val="00F609CE"/>
    <w:rPr>
      <w:bCs/>
    </w:rPr>
  </w:style>
  <w:style w:type="paragraph" w:styleId="Header">
    <w:name w:val="header"/>
    <w:basedOn w:val="Normal"/>
    <w:link w:val="HeaderChar"/>
    <w:uiPriority w:val="99"/>
    <w:rsid w:val="00F609CE"/>
    <w:pPr>
      <w:tabs>
        <w:tab w:val="center" w:pos="4320"/>
        <w:tab w:val="right" w:pos="8640"/>
      </w:tabs>
    </w:pPr>
  </w:style>
  <w:style w:type="paragraph" w:styleId="Footer">
    <w:name w:val="footer"/>
    <w:basedOn w:val="Normal"/>
    <w:rsid w:val="00F609CE"/>
    <w:pPr>
      <w:tabs>
        <w:tab w:val="center" w:pos="4320"/>
        <w:tab w:val="right" w:pos="8640"/>
      </w:tabs>
    </w:pPr>
  </w:style>
  <w:style w:type="table" w:styleId="TableGrid">
    <w:name w:val="Table Grid"/>
    <w:basedOn w:val="TableNormal"/>
    <w:rsid w:val="00941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20B8"/>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rsid w:val="00043E6D"/>
    <w:rPr>
      <w:rFonts w:ascii="Segoe UI" w:hAnsi="Segoe UI" w:cs="Segoe UI"/>
      <w:sz w:val="18"/>
      <w:szCs w:val="18"/>
    </w:rPr>
  </w:style>
  <w:style w:type="character" w:customStyle="1" w:styleId="BalloonTextChar">
    <w:name w:val="Balloon Text Char"/>
    <w:basedOn w:val="DefaultParagraphFont"/>
    <w:link w:val="BalloonText"/>
    <w:rsid w:val="00043E6D"/>
    <w:rPr>
      <w:rFonts w:ascii="Segoe UI" w:hAnsi="Segoe UI" w:cs="Segoe UI"/>
      <w:sz w:val="18"/>
      <w:szCs w:val="18"/>
    </w:rPr>
  </w:style>
  <w:style w:type="character" w:customStyle="1" w:styleId="HeaderChar">
    <w:name w:val="Header Char"/>
    <w:basedOn w:val="DefaultParagraphFont"/>
    <w:link w:val="Header"/>
    <w:uiPriority w:val="99"/>
    <w:rsid w:val="00646BA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1352</TotalTime>
  <Pages>6</Pages>
  <Words>1588</Words>
  <Characters>9056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Village of Twin Lakes Wastewater Treatment Plant Laboratory</vt:lpstr>
    </vt:vector>
  </TitlesOfParts>
  <Company>Village of Twin Lakes</Company>
  <LinksUpToDate>false</LinksUpToDate>
  <CharactersWithSpaces>10623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Village of Twin Lakes Wastewater Treatment Plant Laboratory</dc:title>
  <dc:subject/>
  <dc:creator>WWTF</dc:creator>
  <cp:keywords/>
  <cp:lastModifiedBy>Farrell, Autumn </cp:lastModifiedBy>
  <cp:revision>21</cp:revision>
  <dcterms:created xsi:type="dcterms:W3CDTF">2018-04-15T23:52:00Z</dcterms:created>
  <dcterms:modified xsi:type="dcterms:W3CDTF">2018-07-26T14:31:00Z</dcterms:modified>
</cp:coreProperties>
</file>