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60" w:type="dxa"/>
        <w:tblInd w:w="-5" w:type="dxa"/>
        <w:tblLook w:val="04A0" w:firstRow="1" w:lastRow="0" w:firstColumn="1" w:lastColumn="0" w:noHBand="0" w:noVBand="1"/>
      </w:tblPr>
      <w:tblGrid>
        <w:gridCol w:w="2700"/>
        <w:gridCol w:w="6660"/>
      </w:tblGrid>
      <w:tr w:rsidR="007B216E" w:rsidRPr="00D26E23" w14:paraId="390EC756" w14:textId="77777777" w:rsidTr="00796F8F">
        <w:trPr>
          <w:trHeight w:val="611"/>
        </w:trPr>
        <w:tc>
          <w:tcPr>
            <w:tcW w:w="2700" w:type="dxa"/>
            <w:vAlign w:val="center"/>
          </w:tcPr>
          <w:p w14:paraId="7610C6E1" w14:textId="77777777" w:rsidR="007B216E" w:rsidRPr="00D26E23" w:rsidRDefault="007B216E" w:rsidP="00796F8F">
            <w:pPr>
              <w:pStyle w:val="BodyTextIndent"/>
              <w:ind w:left="0"/>
              <w:jc w:val="right"/>
              <w:rPr>
                <w:b/>
                <w:szCs w:val="22"/>
              </w:rPr>
            </w:pPr>
            <w:r w:rsidRPr="00D26E23">
              <w:rPr>
                <w:b/>
                <w:szCs w:val="22"/>
              </w:rPr>
              <w:t>TITLE:</w:t>
            </w:r>
          </w:p>
        </w:tc>
        <w:tc>
          <w:tcPr>
            <w:tcW w:w="6660" w:type="dxa"/>
            <w:vAlign w:val="center"/>
          </w:tcPr>
          <w:p w14:paraId="7CAAA1D1" w14:textId="77777777" w:rsidR="007B216E" w:rsidRPr="007B216E" w:rsidRDefault="007B216E" w:rsidP="00796F8F">
            <w:pPr>
              <w:pStyle w:val="BodyTextIndent"/>
              <w:ind w:left="0"/>
              <w:rPr>
                <w:b/>
                <w:szCs w:val="22"/>
              </w:rPr>
            </w:pPr>
            <w:r w:rsidRPr="007B216E">
              <w:rPr>
                <w:b/>
              </w:rPr>
              <w:t>Total Phosphorus – Persulfate Digestion and Colorimetric Ascorbic Acid Analysis</w:t>
            </w:r>
          </w:p>
        </w:tc>
      </w:tr>
      <w:tr w:rsidR="007B216E" w:rsidRPr="00D26E23" w14:paraId="60C1E40C" w14:textId="77777777" w:rsidTr="00796F8F">
        <w:trPr>
          <w:trHeight w:val="440"/>
        </w:trPr>
        <w:tc>
          <w:tcPr>
            <w:tcW w:w="2700" w:type="dxa"/>
            <w:vAlign w:val="center"/>
          </w:tcPr>
          <w:p w14:paraId="07020430" w14:textId="77777777" w:rsidR="007B216E" w:rsidRPr="00D26E23" w:rsidRDefault="007B216E" w:rsidP="00796F8F">
            <w:pPr>
              <w:pStyle w:val="BodyTextIndent"/>
              <w:ind w:left="0"/>
              <w:jc w:val="right"/>
              <w:rPr>
                <w:b/>
                <w:szCs w:val="22"/>
              </w:rPr>
            </w:pPr>
            <w:r w:rsidRPr="00D26E23">
              <w:rPr>
                <w:b/>
                <w:szCs w:val="22"/>
              </w:rPr>
              <w:t>ANALYTE:</w:t>
            </w:r>
          </w:p>
        </w:tc>
        <w:tc>
          <w:tcPr>
            <w:tcW w:w="6660" w:type="dxa"/>
            <w:vAlign w:val="center"/>
          </w:tcPr>
          <w:p w14:paraId="73676606" w14:textId="77777777" w:rsidR="007B216E" w:rsidRPr="00D26E23" w:rsidRDefault="007B216E" w:rsidP="00796F8F">
            <w:pPr>
              <w:pStyle w:val="BodyTextIndent"/>
              <w:ind w:left="0"/>
              <w:rPr>
                <w:b/>
                <w:szCs w:val="22"/>
              </w:rPr>
            </w:pPr>
            <w:r w:rsidRPr="00D26E23">
              <w:rPr>
                <w:b/>
                <w:szCs w:val="22"/>
              </w:rPr>
              <w:t>Total Phosphorus</w:t>
            </w:r>
          </w:p>
        </w:tc>
      </w:tr>
      <w:tr w:rsidR="007B216E" w:rsidRPr="00D26E23" w14:paraId="64F3AF33" w14:textId="77777777" w:rsidTr="00796F8F">
        <w:trPr>
          <w:trHeight w:val="440"/>
        </w:trPr>
        <w:tc>
          <w:tcPr>
            <w:tcW w:w="2700" w:type="dxa"/>
            <w:vAlign w:val="center"/>
          </w:tcPr>
          <w:p w14:paraId="0956818C" w14:textId="77777777" w:rsidR="007B216E" w:rsidRPr="00D26E23" w:rsidRDefault="007B216E" w:rsidP="00796F8F">
            <w:pPr>
              <w:pStyle w:val="BodyTextIndent"/>
              <w:ind w:left="0"/>
              <w:jc w:val="right"/>
              <w:rPr>
                <w:b/>
                <w:szCs w:val="22"/>
              </w:rPr>
            </w:pPr>
            <w:r w:rsidRPr="00D26E23">
              <w:rPr>
                <w:b/>
                <w:szCs w:val="22"/>
              </w:rPr>
              <w:t>FACILITY:</w:t>
            </w:r>
          </w:p>
        </w:tc>
        <w:tc>
          <w:tcPr>
            <w:tcW w:w="6660" w:type="dxa"/>
            <w:vAlign w:val="center"/>
          </w:tcPr>
          <w:p w14:paraId="56B47B86" w14:textId="77777777" w:rsidR="007B216E" w:rsidRPr="00D26E23" w:rsidRDefault="007B216E" w:rsidP="00796F8F">
            <w:pPr>
              <w:pStyle w:val="BodyTextIndent"/>
              <w:ind w:left="0"/>
              <w:rPr>
                <w:b/>
                <w:szCs w:val="22"/>
              </w:rPr>
            </w:pPr>
            <w:r w:rsidRPr="00D26E23">
              <w:rPr>
                <w:b/>
                <w:szCs w:val="22"/>
              </w:rPr>
              <w:t>Acme WWTP</w:t>
            </w:r>
          </w:p>
        </w:tc>
      </w:tr>
      <w:tr w:rsidR="007B216E" w:rsidRPr="00D26E23" w14:paraId="3CF82720" w14:textId="77777777" w:rsidTr="00796F8F">
        <w:trPr>
          <w:trHeight w:val="449"/>
        </w:trPr>
        <w:tc>
          <w:tcPr>
            <w:tcW w:w="2700" w:type="dxa"/>
            <w:vAlign w:val="center"/>
          </w:tcPr>
          <w:p w14:paraId="73952A77" w14:textId="77777777" w:rsidR="007B216E" w:rsidRPr="00D26E23" w:rsidRDefault="007B216E" w:rsidP="00796F8F">
            <w:pPr>
              <w:pStyle w:val="BodyTextIndent"/>
              <w:ind w:left="0"/>
              <w:jc w:val="right"/>
              <w:rPr>
                <w:b/>
                <w:szCs w:val="22"/>
              </w:rPr>
            </w:pPr>
            <w:r w:rsidRPr="00D26E23">
              <w:rPr>
                <w:b/>
                <w:szCs w:val="22"/>
              </w:rPr>
              <w:t>REFERENCE METHOD:</w:t>
            </w:r>
          </w:p>
        </w:tc>
        <w:tc>
          <w:tcPr>
            <w:tcW w:w="6660" w:type="dxa"/>
            <w:vAlign w:val="center"/>
          </w:tcPr>
          <w:p w14:paraId="3C8B097F" w14:textId="77777777" w:rsidR="007B216E" w:rsidRPr="00D26E23" w:rsidRDefault="007B216E" w:rsidP="00796F8F">
            <w:pPr>
              <w:pStyle w:val="BodyTextIndent"/>
              <w:ind w:left="0"/>
              <w:rPr>
                <w:b/>
                <w:szCs w:val="22"/>
              </w:rPr>
            </w:pPr>
            <w:r w:rsidRPr="00D26E23">
              <w:rPr>
                <w:b/>
                <w:szCs w:val="22"/>
                <w:u w:val="single"/>
              </w:rPr>
              <w:t>Standard Methods</w:t>
            </w:r>
            <w:r w:rsidRPr="00D26E23">
              <w:rPr>
                <w:b/>
                <w:szCs w:val="22"/>
              </w:rPr>
              <w:t xml:space="preserve"> </w:t>
            </w:r>
            <w:r w:rsidRPr="00E82917">
              <w:rPr>
                <w:b/>
                <w:bCs/>
              </w:rPr>
              <w:t xml:space="preserve">4500-P </w:t>
            </w:r>
            <w:r>
              <w:rPr>
                <w:b/>
                <w:bCs/>
              </w:rPr>
              <w:t xml:space="preserve">B </w:t>
            </w:r>
            <w:r w:rsidR="009D67A0">
              <w:rPr>
                <w:b/>
              </w:rPr>
              <w:t>–</w:t>
            </w:r>
            <w:r>
              <w:rPr>
                <w:b/>
                <w:bCs/>
              </w:rPr>
              <w:t xml:space="preserve"> 1999 and 4500-P </w:t>
            </w:r>
            <w:r w:rsidR="009D67A0">
              <w:rPr>
                <w:b/>
                <w:bCs/>
              </w:rPr>
              <w:t xml:space="preserve">E </w:t>
            </w:r>
            <w:r w:rsidR="009D67A0">
              <w:rPr>
                <w:b/>
              </w:rPr>
              <w:t>–</w:t>
            </w:r>
            <w:r w:rsidRPr="00E82917">
              <w:rPr>
                <w:b/>
                <w:bCs/>
              </w:rPr>
              <w:t xml:space="preserve"> 1999</w:t>
            </w:r>
          </w:p>
        </w:tc>
      </w:tr>
      <w:tr w:rsidR="007B216E" w:rsidRPr="00D26E23" w14:paraId="441FEEE3" w14:textId="77777777" w:rsidTr="00796F8F">
        <w:trPr>
          <w:trHeight w:val="521"/>
        </w:trPr>
        <w:tc>
          <w:tcPr>
            <w:tcW w:w="2700" w:type="dxa"/>
            <w:vAlign w:val="center"/>
          </w:tcPr>
          <w:p w14:paraId="1701D63C" w14:textId="77777777" w:rsidR="007B216E" w:rsidRPr="00D26E23" w:rsidRDefault="007B216E" w:rsidP="00796F8F">
            <w:pPr>
              <w:pStyle w:val="BodyTextIndent"/>
              <w:ind w:left="0"/>
              <w:jc w:val="right"/>
              <w:rPr>
                <w:b/>
                <w:szCs w:val="22"/>
              </w:rPr>
            </w:pPr>
            <w:r w:rsidRPr="00D26E23">
              <w:rPr>
                <w:b/>
                <w:szCs w:val="22"/>
              </w:rPr>
              <w:t>DATE OF ISSUE:</w:t>
            </w:r>
          </w:p>
        </w:tc>
        <w:tc>
          <w:tcPr>
            <w:tcW w:w="6660" w:type="dxa"/>
            <w:vAlign w:val="center"/>
          </w:tcPr>
          <w:p w14:paraId="3C848CF2" w14:textId="10E69C10" w:rsidR="007B216E" w:rsidRPr="00D26E23" w:rsidRDefault="007B216E" w:rsidP="00796F8F">
            <w:pPr>
              <w:pStyle w:val="BodyTextIndent"/>
              <w:ind w:left="0"/>
              <w:rPr>
                <w:b/>
                <w:szCs w:val="22"/>
              </w:rPr>
            </w:pPr>
            <w:r w:rsidRPr="00D26E23">
              <w:rPr>
                <w:b/>
                <w:szCs w:val="22"/>
              </w:rPr>
              <w:t>7/18/</w:t>
            </w:r>
            <w:r w:rsidR="000D1D08">
              <w:rPr>
                <w:b/>
                <w:szCs w:val="22"/>
              </w:rPr>
              <w:t>21</w:t>
            </w:r>
          </w:p>
        </w:tc>
      </w:tr>
    </w:tbl>
    <w:p w14:paraId="181C658A" w14:textId="77777777" w:rsidR="007B216E" w:rsidRDefault="007B216E" w:rsidP="007B216E">
      <w:pPr>
        <w:pStyle w:val="10SOP"/>
        <w:numPr>
          <w:ilvl w:val="0"/>
          <w:numId w:val="0"/>
        </w:numPr>
        <w:ind w:left="720"/>
      </w:pPr>
    </w:p>
    <w:p w14:paraId="14702844" w14:textId="77777777" w:rsidR="00F609CE" w:rsidRDefault="00F609CE" w:rsidP="00F609CE">
      <w:pPr>
        <w:pStyle w:val="10SOP"/>
      </w:pPr>
      <w:r>
        <w:t>Applicable Matrices</w:t>
      </w:r>
    </w:p>
    <w:p w14:paraId="2DC576F8" w14:textId="77777777" w:rsidR="00F609CE" w:rsidRPr="00B14F7C" w:rsidRDefault="00CB6F57" w:rsidP="00F609CE">
      <w:pPr>
        <w:pStyle w:val="11SOP"/>
      </w:pPr>
      <w:r>
        <w:t xml:space="preserve">This method is </w:t>
      </w:r>
      <w:r w:rsidRPr="00B14F7C">
        <w:t xml:space="preserve">applicable to </w:t>
      </w:r>
      <w:r w:rsidR="008C4990" w:rsidRPr="00B14F7C">
        <w:t xml:space="preserve">drinking water, surface and saline waters, and </w:t>
      </w:r>
      <w:r w:rsidRPr="00B14F7C">
        <w:t>domestic and industrial wastes matrices.</w:t>
      </w:r>
    </w:p>
    <w:p w14:paraId="0B71DFC3" w14:textId="77777777" w:rsidR="00FC78FF" w:rsidRDefault="00FC78FF" w:rsidP="00FC78FF">
      <w:pPr>
        <w:pStyle w:val="10SOP"/>
      </w:pPr>
      <w:r>
        <w:t>Summary of the Test Method</w:t>
      </w:r>
    </w:p>
    <w:p w14:paraId="2AA20340" w14:textId="77777777" w:rsidR="00FC78FF" w:rsidRDefault="00E32198" w:rsidP="00FC78FF">
      <w:pPr>
        <w:pStyle w:val="11SOP"/>
      </w:pPr>
      <w:r w:rsidRPr="00E32198">
        <w:t xml:space="preserve">Phosphorus samples are digested to release phosphorus as orthophosphate. </w:t>
      </w:r>
      <w:r>
        <w:rPr>
          <w:highlight w:val="yellow"/>
        </w:rPr>
        <w:t xml:space="preserve"> </w:t>
      </w:r>
      <w:r>
        <w:t>Ammonium molybdate and antimony potassium tartrate react in acid medium with orthophosphate to form a heteropoly acid—phosphomolybdic acid—that is reduced to intensely colored molybdenum blue by ascorbic acid.</w:t>
      </w:r>
    </w:p>
    <w:p w14:paraId="246365B3" w14:textId="77777777" w:rsidR="00F609CE" w:rsidRDefault="00F609CE" w:rsidP="00F609CE">
      <w:pPr>
        <w:pStyle w:val="10SOP"/>
      </w:pPr>
      <w:r>
        <w:t>Safety</w:t>
      </w:r>
    </w:p>
    <w:p w14:paraId="14414764" w14:textId="77777777" w:rsidR="00F609CE" w:rsidRDefault="00F609CE" w:rsidP="00F609CE">
      <w:pPr>
        <w:pStyle w:val="11SOP"/>
      </w:pPr>
      <w:r>
        <w:t>Proper personal protection equipment, such as a lab coat, safety glasses, and nitrile gloves should be worn when performing any laboratory test.</w:t>
      </w:r>
    </w:p>
    <w:p w14:paraId="275C861F" w14:textId="77777777" w:rsidR="00AE6BC8" w:rsidRDefault="00AE6BC8" w:rsidP="00F609CE">
      <w:pPr>
        <w:pStyle w:val="11SOP"/>
      </w:pPr>
      <w:r>
        <w:t>When using acid solutions</w:t>
      </w:r>
      <w:r w:rsidR="00802F73">
        <w:t>,</w:t>
      </w:r>
      <w:r>
        <w:t xml:space="preserve"> wear </w:t>
      </w:r>
      <w:r w:rsidR="00802F73">
        <w:t xml:space="preserve">appropriate protective clothing: </w:t>
      </w:r>
      <w:r>
        <w:t xml:space="preserve"> rubber apron, protective sleeves, gloves, and safety goggles or glasses.</w:t>
      </w:r>
    </w:p>
    <w:p w14:paraId="23920EFB" w14:textId="77777777" w:rsidR="00AE6BC8" w:rsidRDefault="00AE6BC8" w:rsidP="00F609CE">
      <w:pPr>
        <w:pStyle w:val="11SOP"/>
      </w:pPr>
      <w:r>
        <w:t>Always have adequate ventilation when working with acids, bases</w:t>
      </w:r>
      <w:r w:rsidR="00802F73">
        <w:t>,</w:t>
      </w:r>
      <w:r>
        <w:t xml:space="preserve"> and solvents to minimize exposure to vapors.</w:t>
      </w:r>
    </w:p>
    <w:p w14:paraId="3555841B" w14:textId="77777777" w:rsidR="00AE6BC8" w:rsidRDefault="00AE6BC8" w:rsidP="00AE6BC8">
      <w:pPr>
        <w:pStyle w:val="11SOP"/>
      </w:pPr>
      <w:r>
        <w:t xml:space="preserve">Refer to </w:t>
      </w:r>
      <w:r w:rsidR="00802F73">
        <w:t xml:space="preserve">the </w:t>
      </w:r>
      <w:r>
        <w:t>Safety Data Sheet for information on a specific chemical.</w:t>
      </w:r>
    </w:p>
    <w:p w14:paraId="2CB9E03E" w14:textId="77777777" w:rsidR="00F609CE" w:rsidRDefault="00F609CE" w:rsidP="00F609CE">
      <w:pPr>
        <w:pStyle w:val="10SOP"/>
      </w:pPr>
      <w:r>
        <w:t>Equipment and Supplies</w:t>
      </w:r>
    </w:p>
    <w:p w14:paraId="71DC7B98" w14:textId="77777777" w:rsidR="00B17BC7" w:rsidRPr="00BB1525" w:rsidRDefault="00B17BC7" w:rsidP="00B17BC7">
      <w:pPr>
        <w:pStyle w:val="11SOP"/>
      </w:pPr>
      <w:r w:rsidRPr="00BB1525">
        <w:t xml:space="preserve">Spectrophotometer, </w:t>
      </w:r>
      <w:r w:rsidR="002B4D61" w:rsidRPr="00633B14">
        <w:t>ABC Company Model 123</w:t>
      </w:r>
      <w:r w:rsidRPr="00BB1525">
        <w:t xml:space="preserve"> for use at 880 </w:t>
      </w:r>
      <w:r w:rsidR="00E82917" w:rsidRPr="00BB1525">
        <w:t>nm</w:t>
      </w:r>
      <w:r w:rsidR="00997318">
        <w:t>, providing a light path of 2.5 cm or longer.</w:t>
      </w:r>
    </w:p>
    <w:p w14:paraId="327E6497" w14:textId="77777777" w:rsidR="00DA1EBC" w:rsidRDefault="00DA1EBC" w:rsidP="00B17BC7">
      <w:pPr>
        <w:pStyle w:val="11SOP"/>
      </w:pPr>
      <w:r>
        <w:t>Digestion equipment:</w:t>
      </w:r>
    </w:p>
    <w:p w14:paraId="35E5BDC3" w14:textId="77777777" w:rsidR="00AE6BC8" w:rsidRDefault="005248EA" w:rsidP="007B216E">
      <w:pPr>
        <w:pStyle w:val="111SOP"/>
        <w:ind w:hanging="990"/>
      </w:pPr>
      <w:r>
        <w:t>Hot plate</w:t>
      </w:r>
      <w:r w:rsidR="00DA1EBC">
        <w:t>; or</w:t>
      </w:r>
    </w:p>
    <w:p w14:paraId="49ADB190" w14:textId="77777777" w:rsidR="005248EA" w:rsidRPr="00BB1525" w:rsidRDefault="005248EA" w:rsidP="007B216E">
      <w:pPr>
        <w:pStyle w:val="111SOP"/>
        <w:ind w:hanging="990"/>
      </w:pPr>
      <w:r>
        <w:t xml:space="preserve">Autoclave – Capable of developing 98 to 137 kPa </w:t>
      </w:r>
    </w:p>
    <w:p w14:paraId="2781C558" w14:textId="77777777" w:rsidR="00FD5774" w:rsidRDefault="00FD5774" w:rsidP="00F609CE">
      <w:pPr>
        <w:pStyle w:val="11SOP"/>
      </w:pPr>
      <w:r w:rsidRPr="00BB1525">
        <w:t>Class</w:t>
      </w:r>
      <w:r w:rsidRPr="00B17BC7">
        <w:t xml:space="preserve"> A pipets</w:t>
      </w:r>
      <w:r>
        <w:t xml:space="preserve"> or verified mechanical pipettors</w:t>
      </w:r>
    </w:p>
    <w:p w14:paraId="387C8741" w14:textId="77777777" w:rsidR="00DD5185" w:rsidRPr="00B17BC7" w:rsidRDefault="00B17BC7" w:rsidP="00DD5185">
      <w:pPr>
        <w:pStyle w:val="11SOP"/>
      </w:pPr>
      <w:r w:rsidRPr="00B17BC7">
        <w:t>Acid-rinsed glassware</w:t>
      </w:r>
      <w:r w:rsidR="00FD5774">
        <w:t xml:space="preserve">:  </w:t>
      </w:r>
      <w:r w:rsidR="00E03968">
        <w:t xml:space="preserve">Erlenmeyer flasks, </w:t>
      </w:r>
      <w:r w:rsidR="00FD5774">
        <w:t>graduated cylinders and volumetric flasks</w:t>
      </w:r>
    </w:p>
    <w:p w14:paraId="1C5D8AA1" w14:textId="77777777" w:rsidR="00564DB0" w:rsidRPr="00B17BC7" w:rsidRDefault="005248EA" w:rsidP="00F609CE">
      <w:pPr>
        <w:pStyle w:val="11SOP"/>
      </w:pPr>
      <w:r>
        <w:t>Glass scoop; used to hold required amount of persulfate crystals</w:t>
      </w:r>
    </w:p>
    <w:p w14:paraId="4B9BF6F0" w14:textId="77777777" w:rsidR="001A3944" w:rsidRDefault="00866ACD" w:rsidP="001A3944">
      <w:pPr>
        <w:pStyle w:val="11SOP"/>
        <w:rPr>
          <w:szCs w:val="22"/>
        </w:rPr>
      </w:pPr>
      <w:r>
        <w:rPr>
          <w:szCs w:val="22"/>
        </w:rPr>
        <w:lastRenderedPageBreak/>
        <w:t>pH paper, narrow</w:t>
      </w:r>
      <w:r w:rsidR="001A3944">
        <w:rPr>
          <w:szCs w:val="22"/>
        </w:rPr>
        <w:t xml:space="preserve"> range (0</w:t>
      </w:r>
      <w:r w:rsidR="001A3944" w:rsidRPr="00EA3EF6">
        <w:rPr>
          <w:szCs w:val="22"/>
        </w:rPr>
        <w:t xml:space="preserve"> –</w:t>
      </w:r>
      <w:r w:rsidR="001A3944">
        <w:rPr>
          <w:szCs w:val="22"/>
        </w:rPr>
        <w:t xml:space="preserve"> 6.0); used to confirm pH of &lt;2 for preservation</w:t>
      </w:r>
    </w:p>
    <w:p w14:paraId="395D34B9" w14:textId="77777777" w:rsidR="00F609CE" w:rsidRDefault="00F609CE" w:rsidP="00F609CE">
      <w:pPr>
        <w:pStyle w:val="10SOP"/>
      </w:pPr>
      <w:r>
        <w:rPr>
          <w:snapToGrid w:val="0"/>
        </w:rPr>
        <w:t>Reagents and Standards</w:t>
      </w:r>
    </w:p>
    <w:p w14:paraId="47BC6763" w14:textId="77777777" w:rsidR="009404A5" w:rsidRDefault="006D0E91" w:rsidP="005248EA">
      <w:pPr>
        <w:pStyle w:val="11SOP"/>
      </w:pPr>
      <w:r>
        <w:t>Distilled</w:t>
      </w:r>
      <w:r w:rsidR="0097303C">
        <w:t xml:space="preserve"> w</w:t>
      </w:r>
      <w:r w:rsidR="00F609CE">
        <w:t>ater</w:t>
      </w:r>
    </w:p>
    <w:p w14:paraId="21D71410" w14:textId="77777777" w:rsidR="00CF2954" w:rsidRDefault="00CF2954" w:rsidP="005248EA">
      <w:pPr>
        <w:pStyle w:val="11SOP"/>
      </w:pPr>
      <w:r>
        <w:t>Ammonium persulfate, (</w:t>
      </w:r>
      <w:proofErr w:type="spellStart"/>
      <w:r>
        <w:t>NH</w:t>
      </w:r>
      <w:proofErr w:type="gramStart"/>
      <w:r>
        <w:rPr>
          <w:vertAlign w:val="subscript"/>
        </w:rPr>
        <w:t>4</w:t>
      </w:r>
      <w:proofErr w:type="spellEnd"/>
      <w:r>
        <w:t>)</w:t>
      </w:r>
      <w:proofErr w:type="spellStart"/>
      <w:r>
        <w:t>S</w:t>
      </w:r>
      <w:proofErr w:type="gramEnd"/>
      <w:r>
        <w:rPr>
          <w:vertAlign w:val="subscript"/>
        </w:rPr>
        <w:t>2</w:t>
      </w:r>
      <w:r>
        <w:t>O</w:t>
      </w:r>
      <w:r>
        <w:rPr>
          <w:vertAlign w:val="subscript"/>
        </w:rPr>
        <w:t>8</w:t>
      </w:r>
      <w:proofErr w:type="spellEnd"/>
      <w:r>
        <w:t xml:space="preserve">, solid, or potassium persulfate, </w:t>
      </w:r>
      <w:proofErr w:type="spellStart"/>
      <w:r>
        <w:t>K</w:t>
      </w:r>
      <w:r w:rsidRPr="00CF2954">
        <w:rPr>
          <w:vertAlign w:val="subscript"/>
        </w:rPr>
        <w:t>2</w:t>
      </w:r>
      <w:r>
        <w:t>S</w:t>
      </w:r>
      <w:r>
        <w:rPr>
          <w:vertAlign w:val="subscript"/>
        </w:rPr>
        <w:t>2</w:t>
      </w:r>
      <w:r>
        <w:t>O</w:t>
      </w:r>
      <w:r>
        <w:rPr>
          <w:vertAlign w:val="subscript"/>
        </w:rPr>
        <w:t>8</w:t>
      </w:r>
      <w:proofErr w:type="spellEnd"/>
      <w:r>
        <w:t>, solid</w:t>
      </w:r>
    </w:p>
    <w:p w14:paraId="53296E25" w14:textId="77777777" w:rsidR="00997318" w:rsidRPr="00997318" w:rsidRDefault="00997318" w:rsidP="005248EA">
      <w:pPr>
        <w:pStyle w:val="11SOP"/>
      </w:pPr>
      <w:r>
        <w:t>Antimony potassium tartrate solu</w:t>
      </w:r>
      <w:r w:rsidR="00AA09D6">
        <w:t>tion.  D</w:t>
      </w:r>
      <w:r>
        <w:t>issolve 1.3715 g K(</w:t>
      </w:r>
      <w:proofErr w:type="spellStart"/>
      <w:r>
        <w:t>SbO</w:t>
      </w:r>
      <w:proofErr w:type="spellEnd"/>
      <w:r>
        <w:t>)</w:t>
      </w:r>
      <w:proofErr w:type="spellStart"/>
      <w:r>
        <w:t>C</w:t>
      </w:r>
      <w:r w:rsidRPr="00997318">
        <w:rPr>
          <w:vertAlign w:val="subscript"/>
        </w:rPr>
        <w:t>4</w:t>
      </w:r>
      <w:r>
        <w:t>H</w:t>
      </w:r>
      <w:r w:rsidRPr="00997318">
        <w:rPr>
          <w:vertAlign w:val="subscript"/>
        </w:rPr>
        <w:t>4</w:t>
      </w:r>
      <w:r>
        <w:t>O</w:t>
      </w:r>
      <w:r w:rsidRPr="00997318">
        <w:rPr>
          <w:vertAlign w:val="subscript"/>
        </w:rPr>
        <w:t>6</w:t>
      </w:r>
      <w:proofErr w:type="spellEnd"/>
      <w:r>
        <w:rPr>
          <w:vertAlign w:val="subscript"/>
        </w:rPr>
        <w:t xml:space="preserve"> </w:t>
      </w:r>
      <w:r>
        <w:rPr>
          <w:rFonts w:cs="Arial"/>
        </w:rPr>
        <w:t xml:space="preserve">• </w:t>
      </w:r>
      <w:proofErr w:type="spellStart"/>
      <w:r>
        <w:rPr>
          <w:rFonts w:cs="Arial"/>
        </w:rPr>
        <w:t>½H</w:t>
      </w:r>
      <w:r w:rsidRPr="00997318">
        <w:rPr>
          <w:rFonts w:cs="Arial"/>
          <w:vertAlign w:val="subscript"/>
        </w:rPr>
        <w:t>2</w:t>
      </w:r>
      <w:r>
        <w:rPr>
          <w:rFonts w:cs="Arial"/>
        </w:rPr>
        <w:t>O</w:t>
      </w:r>
      <w:proofErr w:type="spellEnd"/>
      <w:r>
        <w:rPr>
          <w:rFonts w:cs="Arial"/>
        </w:rPr>
        <w:t xml:space="preserve"> in 400 mL distilled water in a 500 mL volumetric flask and dilute to volume with distilled water.  </w:t>
      </w:r>
    </w:p>
    <w:p w14:paraId="77737474" w14:textId="77777777" w:rsidR="00997318" w:rsidRPr="00997318" w:rsidRDefault="00997318" w:rsidP="005248EA">
      <w:pPr>
        <w:pStyle w:val="11SOP"/>
      </w:pPr>
      <w:r>
        <w:rPr>
          <w:rFonts w:cs="Arial"/>
        </w:rPr>
        <w:t>Ammonium molybdate solution.  Dissolve 20 g (</w:t>
      </w:r>
      <w:proofErr w:type="spellStart"/>
      <w:r>
        <w:rPr>
          <w:rFonts w:cs="Arial"/>
        </w:rPr>
        <w:t>NH</w:t>
      </w:r>
      <w:proofErr w:type="gramStart"/>
      <w:r w:rsidRPr="00997318">
        <w:rPr>
          <w:rFonts w:cs="Arial"/>
          <w:vertAlign w:val="subscript"/>
        </w:rPr>
        <w:t>4</w:t>
      </w:r>
      <w:proofErr w:type="spellEnd"/>
      <w:r>
        <w:rPr>
          <w:rFonts w:cs="Arial"/>
        </w:rPr>
        <w:t>)</w:t>
      </w:r>
      <w:proofErr w:type="spellStart"/>
      <w:r>
        <w:rPr>
          <w:rFonts w:cs="Arial"/>
        </w:rPr>
        <w:t>Mo</w:t>
      </w:r>
      <w:proofErr w:type="gramEnd"/>
      <w:r w:rsidRPr="00997318">
        <w:rPr>
          <w:rFonts w:cs="Arial"/>
          <w:vertAlign w:val="subscript"/>
        </w:rPr>
        <w:t>7</w:t>
      </w:r>
      <w:r>
        <w:rPr>
          <w:rFonts w:cs="Arial"/>
        </w:rPr>
        <w:t>O</w:t>
      </w:r>
      <w:r w:rsidRPr="00997318">
        <w:rPr>
          <w:rFonts w:cs="Arial"/>
          <w:vertAlign w:val="subscript"/>
        </w:rPr>
        <w:t>24</w:t>
      </w:r>
      <w:proofErr w:type="spellEnd"/>
      <w:r w:rsidRPr="00997318">
        <w:rPr>
          <w:rFonts w:cs="Arial"/>
          <w:vertAlign w:val="subscript"/>
        </w:rPr>
        <w:t xml:space="preserve"> </w:t>
      </w:r>
      <w:r>
        <w:rPr>
          <w:rFonts w:cs="Arial"/>
        </w:rPr>
        <w:t xml:space="preserve">• </w:t>
      </w:r>
      <w:proofErr w:type="spellStart"/>
      <w:r>
        <w:rPr>
          <w:rFonts w:cs="Arial"/>
        </w:rPr>
        <w:t>4H</w:t>
      </w:r>
      <w:r w:rsidRPr="00997318">
        <w:rPr>
          <w:rFonts w:cs="Arial"/>
          <w:vertAlign w:val="subscript"/>
        </w:rPr>
        <w:t>2</w:t>
      </w:r>
      <w:r>
        <w:rPr>
          <w:rFonts w:cs="Arial"/>
        </w:rPr>
        <w:t>O</w:t>
      </w:r>
      <w:proofErr w:type="spellEnd"/>
      <w:r>
        <w:rPr>
          <w:rFonts w:cs="Arial"/>
        </w:rPr>
        <w:t xml:space="preserve"> in 500 mL distilled water.</w:t>
      </w:r>
    </w:p>
    <w:p w14:paraId="23477F60" w14:textId="77777777" w:rsidR="00997318" w:rsidRPr="00997318" w:rsidRDefault="00997318" w:rsidP="005248EA">
      <w:pPr>
        <w:pStyle w:val="11SOP"/>
      </w:pPr>
      <w:r>
        <w:rPr>
          <w:rFonts w:cs="Arial"/>
        </w:rPr>
        <w:t xml:space="preserve">Ascorbic acid, 0.1 M.  Dissolve 1.76 g ascorbic acid in 100 mL distilled water.  This solution is stable for about 1 week at </w:t>
      </w:r>
      <w:proofErr w:type="spellStart"/>
      <w:r>
        <w:rPr>
          <w:rFonts w:cs="Arial"/>
        </w:rPr>
        <w:t>4°C</w:t>
      </w:r>
      <w:proofErr w:type="spellEnd"/>
      <w:r>
        <w:rPr>
          <w:rFonts w:cs="Arial"/>
        </w:rPr>
        <w:t>.</w:t>
      </w:r>
    </w:p>
    <w:p w14:paraId="08EE5BD2" w14:textId="77777777" w:rsidR="00997318" w:rsidRDefault="00997318" w:rsidP="005248EA">
      <w:pPr>
        <w:pStyle w:val="11SOP"/>
      </w:pPr>
      <w:r>
        <w:rPr>
          <w:rFonts w:cs="Arial"/>
        </w:rPr>
        <w:t xml:space="preserve">Combined reagent.  </w:t>
      </w:r>
      <w:r w:rsidR="00AA09D6">
        <w:rPr>
          <w:rFonts w:cs="Arial"/>
        </w:rPr>
        <w:t>Let all reagents reach room temperature before they are mixed,</w:t>
      </w:r>
      <w:r w:rsidR="00A07515">
        <w:rPr>
          <w:rFonts w:cs="Arial"/>
        </w:rPr>
        <w:t xml:space="preserve"> and mix in the following order:</w:t>
      </w:r>
      <w:r w:rsidR="00AA09D6">
        <w:rPr>
          <w:rFonts w:cs="Arial"/>
        </w:rPr>
        <w:t xml:space="preserve">  </w:t>
      </w:r>
      <w:r>
        <w:rPr>
          <w:rFonts w:cs="Arial"/>
        </w:rPr>
        <w:t xml:space="preserve">50 mL of 5 N </w:t>
      </w:r>
      <w:proofErr w:type="spellStart"/>
      <w:r>
        <w:rPr>
          <w:rFonts w:cs="Arial"/>
        </w:rPr>
        <w:t>H</w:t>
      </w:r>
      <w:r w:rsidRPr="00AA09D6">
        <w:rPr>
          <w:rFonts w:cs="Arial"/>
          <w:vertAlign w:val="subscript"/>
        </w:rPr>
        <w:t>2</w:t>
      </w:r>
      <w:r>
        <w:rPr>
          <w:rFonts w:cs="Arial"/>
        </w:rPr>
        <w:t>SO</w:t>
      </w:r>
      <w:r w:rsidRPr="00AA09D6">
        <w:rPr>
          <w:rFonts w:cs="Arial"/>
          <w:vertAlign w:val="subscript"/>
        </w:rPr>
        <w:t>4</w:t>
      </w:r>
      <w:proofErr w:type="spellEnd"/>
      <w:r w:rsidR="00AA09D6">
        <w:rPr>
          <w:rFonts w:cs="Arial"/>
        </w:rPr>
        <w:t>, 5 mL antimony potassium tartrate solution, 15 mL ammonium molybdate solution, and 30 mL ascorbic acid solution.  Mix after addition of each reagent. This reagent is stable for 4 hours.</w:t>
      </w:r>
    </w:p>
    <w:p w14:paraId="3B4547E1" w14:textId="77777777" w:rsidR="008F0E08" w:rsidRPr="00623E6E" w:rsidRDefault="008F0E08" w:rsidP="001A3944">
      <w:pPr>
        <w:pStyle w:val="11SOP"/>
      </w:pPr>
      <w:r w:rsidRPr="00623E6E">
        <w:t>Phenolphthalein indicator aqueous solution</w:t>
      </w:r>
    </w:p>
    <w:p w14:paraId="6BE34C3E" w14:textId="77777777" w:rsidR="00010DFD" w:rsidRDefault="00010DFD" w:rsidP="00F609CE">
      <w:pPr>
        <w:pStyle w:val="11SOP"/>
      </w:pPr>
      <w:r>
        <w:t xml:space="preserve">Phosphate </w:t>
      </w:r>
      <w:r w:rsidR="00FD5774">
        <w:t xml:space="preserve">stock </w:t>
      </w:r>
      <w:r>
        <w:t>standard, 5 mg/L as P</w:t>
      </w:r>
      <w:r w:rsidR="001A3944">
        <w:t xml:space="preserve">.  This solution </w:t>
      </w:r>
      <w:r w:rsidR="00FD5774">
        <w:t>expires according to manufacturer’s expiration date</w:t>
      </w:r>
      <w:r w:rsidR="001A3944">
        <w:t>.</w:t>
      </w:r>
      <w:r w:rsidR="00FD6726">
        <w:t xml:space="preserve">  </w:t>
      </w:r>
      <w:bookmarkStart w:id="0" w:name="_Hlk519667237"/>
      <w:r w:rsidR="00FD6726">
        <w:t xml:space="preserve">Note:  use standards “as P” instead of “as </w:t>
      </w:r>
      <w:proofErr w:type="spellStart"/>
      <w:r w:rsidR="00FD6726">
        <w:t>PO4</w:t>
      </w:r>
      <w:proofErr w:type="spellEnd"/>
      <w:r w:rsidR="00FD6726">
        <w:t>.”</w:t>
      </w:r>
      <w:bookmarkEnd w:id="0"/>
    </w:p>
    <w:p w14:paraId="09F0C7A2" w14:textId="77777777" w:rsidR="00010DFD" w:rsidRDefault="00FD5774" w:rsidP="00F609CE">
      <w:pPr>
        <w:pStyle w:val="11SOP"/>
      </w:pPr>
      <w:proofErr w:type="spellStart"/>
      <w:r>
        <w:t>ICV</w:t>
      </w:r>
      <w:proofErr w:type="spellEnd"/>
      <w:r>
        <w:t xml:space="preserve"> (initial calibration verification standard), second source p</w:t>
      </w:r>
      <w:r w:rsidR="00010DFD">
        <w:t xml:space="preserve">hosphate </w:t>
      </w:r>
      <w:r>
        <w:t xml:space="preserve">stock </w:t>
      </w:r>
      <w:r w:rsidR="00010DFD">
        <w:t>standard, 50 mg/L as P</w:t>
      </w:r>
      <w:r w:rsidR="001A3944">
        <w:t xml:space="preserve">.  This solution </w:t>
      </w:r>
      <w:r>
        <w:t>expires according to manufacturer’s expiration date</w:t>
      </w:r>
      <w:r w:rsidR="001A3944">
        <w:t>.</w:t>
      </w:r>
    </w:p>
    <w:p w14:paraId="752754E9" w14:textId="0E7D0A5B" w:rsidR="00567846" w:rsidRDefault="00567846" w:rsidP="00F609CE">
      <w:pPr>
        <w:pStyle w:val="11SOP"/>
      </w:pPr>
      <w:r>
        <w:t xml:space="preserve">CCV (continuing calibration verification standard)/LCS (lab control standard) </w:t>
      </w:r>
      <w:r w:rsidR="00236FF2">
        <w:t>phosp</w:t>
      </w:r>
      <w:r w:rsidR="00B27B96">
        <w:t>h</w:t>
      </w:r>
      <w:r w:rsidR="00236FF2">
        <w:t>ate solution, 0.5</w:t>
      </w:r>
      <w:r>
        <w:t xml:space="preserve"> mg/L </w:t>
      </w:r>
      <w:r w:rsidR="00236FF2">
        <w:t>P</w:t>
      </w:r>
      <w:r>
        <w:t>.  Add 5</w:t>
      </w:r>
      <w:r w:rsidR="00236FF2">
        <w:t>.0 mL of 5</w:t>
      </w:r>
      <w:r>
        <w:t xml:space="preserve"> mg/L </w:t>
      </w:r>
      <w:r w:rsidR="00236FF2">
        <w:t xml:space="preserve">phosphate </w:t>
      </w:r>
      <w:r>
        <w:t>stock standard (5.3</w:t>
      </w:r>
      <w:r w:rsidR="00236FF2">
        <w:t>) to a 5</w:t>
      </w:r>
      <w:r>
        <w:t xml:space="preserve">0 mL volumetric flask using </w:t>
      </w:r>
      <w:r w:rsidR="00236FF2">
        <w:t xml:space="preserve">a </w:t>
      </w:r>
      <w:proofErr w:type="gramStart"/>
      <w:r>
        <w:t>pipette, and</w:t>
      </w:r>
      <w:proofErr w:type="gramEnd"/>
      <w:r>
        <w:t xml:space="preserve"> bring to volume with distilled water. </w:t>
      </w:r>
    </w:p>
    <w:p w14:paraId="00F15E4B" w14:textId="77777777" w:rsidR="001A3944" w:rsidRPr="00623E6E" w:rsidRDefault="00A07515" w:rsidP="001A3944">
      <w:pPr>
        <w:pStyle w:val="11SOP"/>
      </w:pPr>
      <w:r>
        <w:t xml:space="preserve">Sulfuric acid solution, 5 N </w:t>
      </w:r>
    </w:p>
    <w:p w14:paraId="46BB093C" w14:textId="77777777" w:rsidR="00452C4F" w:rsidRDefault="00A07515" w:rsidP="001A3944">
      <w:pPr>
        <w:pStyle w:val="11SOP"/>
      </w:pPr>
      <w:r>
        <w:t>Sodium hydroxide solution, 1 N</w:t>
      </w:r>
    </w:p>
    <w:p w14:paraId="105E2029" w14:textId="77777777" w:rsidR="006D0E91" w:rsidRDefault="006D0E91" w:rsidP="00F609CE">
      <w:pPr>
        <w:pStyle w:val="11SOP"/>
      </w:pPr>
      <w:r>
        <w:t xml:space="preserve">Proficiency Testing samples from </w:t>
      </w:r>
      <w:r w:rsidR="004329D9">
        <w:t>an</w:t>
      </w:r>
      <w:r w:rsidR="002B4D61">
        <w:t xml:space="preserve"> approved provider</w:t>
      </w:r>
    </w:p>
    <w:p w14:paraId="06049047" w14:textId="77777777" w:rsidR="00AB789A" w:rsidRDefault="00AB789A" w:rsidP="00AB789A">
      <w:pPr>
        <w:pStyle w:val="10SOP"/>
      </w:pPr>
      <w:r>
        <w:t>Interferences</w:t>
      </w:r>
    </w:p>
    <w:p w14:paraId="781F9CED" w14:textId="77777777" w:rsidR="00AD2E63" w:rsidRDefault="00E32198" w:rsidP="00AB789A">
      <w:pPr>
        <w:pStyle w:val="11SOP"/>
      </w:pPr>
      <w:r>
        <w:t xml:space="preserve">Arsenates react with the molybdate reagent to produce a blue color </w:t>
      </w:r>
      <w:proofErr w:type="gramStart"/>
      <w:r>
        <w:t>similar to</w:t>
      </w:r>
      <w:proofErr w:type="gramEnd"/>
      <w:r>
        <w:t xml:space="preserve"> that formed with phosphate.  Concentrations as low as 0.1 mg/L As interfere with the phosphate determination.  Hexavalent chromium and </w:t>
      </w:r>
      <w:proofErr w:type="spellStart"/>
      <w:r>
        <w:t>NO</w:t>
      </w:r>
      <w:r w:rsidRPr="00E32198">
        <w:rPr>
          <w:vertAlign w:val="subscript"/>
        </w:rPr>
        <w:t>2</w:t>
      </w:r>
      <w:proofErr w:type="spellEnd"/>
      <w:r w:rsidRPr="00E32198">
        <w:rPr>
          <w:vertAlign w:val="superscript"/>
        </w:rPr>
        <w:t>-</w:t>
      </w:r>
      <w:r>
        <w:t xml:space="preserve"> interfere to give results about 3% low at concentrations of 1 mg/L and 10</w:t>
      </w:r>
      <w:r w:rsidR="00857703">
        <w:t>%</w:t>
      </w:r>
      <w:r>
        <w:t xml:space="preserve"> to 15% low at 10 mg/L.  Sulfide (</w:t>
      </w:r>
      <w:proofErr w:type="spellStart"/>
      <w:r>
        <w:t>Na</w:t>
      </w:r>
      <w:r w:rsidRPr="00E32198">
        <w:rPr>
          <w:vertAlign w:val="subscript"/>
        </w:rPr>
        <w:t>2</w:t>
      </w:r>
      <w:r>
        <w:t>S</w:t>
      </w:r>
      <w:proofErr w:type="spellEnd"/>
      <w:r>
        <w:t>) and silicate do not interfere at concentrations of 1.0 and 10 mg/L</w:t>
      </w:r>
      <w:r w:rsidR="00E82917">
        <w:t>.</w:t>
      </w:r>
    </w:p>
    <w:p w14:paraId="6FD42595" w14:textId="77777777" w:rsidR="00F609CE" w:rsidRDefault="00F609CE" w:rsidP="00F609CE">
      <w:pPr>
        <w:pStyle w:val="10SOP"/>
      </w:pPr>
      <w:r>
        <w:lastRenderedPageBreak/>
        <w:t>Sample Co</w:t>
      </w:r>
      <w:r w:rsidR="00FA1A24">
        <w:t>llection, Preservation</w:t>
      </w:r>
      <w:r>
        <w:t>, and Storage</w:t>
      </w:r>
    </w:p>
    <w:p w14:paraId="38B2BE24" w14:textId="77777777" w:rsidR="00F609CE" w:rsidRDefault="00452C4F" w:rsidP="00F609CE">
      <w:pPr>
        <w:pStyle w:val="11SOP"/>
      </w:pPr>
      <w:r w:rsidRPr="00452C4F">
        <w:t>Resistant-glass or plastic bottles may be used for sample collection.  Containers should be cleaned with a non-phosphate detergent and water, and rinsed thoroughly</w:t>
      </w:r>
      <w:r w:rsidR="00857703">
        <w:t xml:space="preserve"> with</w:t>
      </w:r>
      <w:r w:rsidRPr="00452C4F">
        <w:t xml:space="preserve"> tap water.  Bottles should then be rinsed with 1% hydrochloric acid (HCl) and followed by tap water and deionized or distilled water. </w:t>
      </w:r>
    </w:p>
    <w:p w14:paraId="3C352C0B" w14:textId="77777777" w:rsidR="007A7D2A" w:rsidRDefault="007A7D2A" w:rsidP="00F609CE">
      <w:pPr>
        <w:pStyle w:val="11SOP"/>
      </w:pPr>
      <w:r>
        <w:t>If samples cannot be analyzed within 15 minutes of collection, s</w:t>
      </w:r>
      <w:r w:rsidR="00452C4F" w:rsidRPr="00452C4F">
        <w:t>amples must be preserved by acidifying with sulfuric acid (</w:t>
      </w:r>
      <w:proofErr w:type="spellStart"/>
      <w:r w:rsidR="00452C4F" w:rsidRPr="00452C4F">
        <w:t>H</w:t>
      </w:r>
      <w:r w:rsidR="00452C4F" w:rsidRPr="00BC4856">
        <w:rPr>
          <w:vertAlign w:val="subscript"/>
        </w:rPr>
        <w:t>2</w:t>
      </w:r>
      <w:r w:rsidR="00452C4F" w:rsidRPr="00452C4F">
        <w:t>SO</w:t>
      </w:r>
      <w:r w:rsidR="00452C4F" w:rsidRPr="00BC4856">
        <w:rPr>
          <w:vertAlign w:val="subscript"/>
        </w:rPr>
        <w:t>4</w:t>
      </w:r>
      <w:proofErr w:type="spellEnd"/>
      <w:r w:rsidR="00452C4F" w:rsidRPr="00452C4F">
        <w:t xml:space="preserve">) </w:t>
      </w:r>
      <w:r w:rsidR="005248EA">
        <w:t xml:space="preserve">or hydrochloric acid (HCl) </w:t>
      </w:r>
      <w:r w:rsidR="00BC4856">
        <w:t>to a pH &lt;</w:t>
      </w:r>
      <w:r w:rsidR="00452C4F" w:rsidRPr="00452C4F">
        <w:t>2 immediately after collecting</w:t>
      </w:r>
      <w:r>
        <w:t>.</w:t>
      </w:r>
      <w:r w:rsidR="00452C4F" w:rsidRPr="00452C4F">
        <w:t xml:space="preserve"> </w:t>
      </w:r>
    </w:p>
    <w:p w14:paraId="5EE767FA" w14:textId="77777777" w:rsidR="00FD5774" w:rsidRDefault="00452C4F" w:rsidP="00637332">
      <w:pPr>
        <w:pStyle w:val="111SOP"/>
        <w:ind w:hanging="990"/>
      </w:pPr>
      <w:r w:rsidRPr="00452C4F">
        <w:t>Generally</w:t>
      </w:r>
      <w:r w:rsidR="00BC4856">
        <w:t>,</w:t>
      </w:r>
      <w:r w:rsidR="00567846">
        <w:t xml:space="preserve"> 0.5</w:t>
      </w:r>
      <w:r w:rsidRPr="00452C4F">
        <w:t xml:space="preserve"> mL of </w:t>
      </w:r>
      <w:r w:rsidR="00567846">
        <w:t xml:space="preserve">5 N </w:t>
      </w:r>
      <w:proofErr w:type="spellStart"/>
      <w:r w:rsidRPr="00452C4F">
        <w:t>H</w:t>
      </w:r>
      <w:r w:rsidRPr="00BC4856">
        <w:rPr>
          <w:vertAlign w:val="subscript"/>
        </w:rPr>
        <w:t>2</w:t>
      </w:r>
      <w:r w:rsidRPr="00452C4F">
        <w:t>SO</w:t>
      </w:r>
      <w:r w:rsidRPr="00BC4856">
        <w:rPr>
          <w:vertAlign w:val="subscript"/>
        </w:rPr>
        <w:t>4</w:t>
      </w:r>
      <w:proofErr w:type="spellEnd"/>
      <w:r w:rsidR="00567846">
        <w:t xml:space="preserve"> per 2</w:t>
      </w:r>
      <w:r w:rsidR="008971D5">
        <w:t>00 mL of sample</w:t>
      </w:r>
      <w:r w:rsidRPr="00452C4F">
        <w:t xml:space="preserve"> is sufficient to redu</w:t>
      </w:r>
      <w:r w:rsidR="00A205F3">
        <w:t xml:space="preserve">ce the pH to &lt;2.  </w:t>
      </w:r>
    </w:p>
    <w:p w14:paraId="6E8CD4AF" w14:textId="77777777" w:rsidR="00F609CE" w:rsidRDefault="00A205F3" w:rsidP="00637332">
      <w:pPr>
        <w:pStyle w:val="111SOP"/>
        <w:ind w:hanging="990"/>
      </w:pPr>
      <w:r>
        <w:t>Samples must</w:t>
      </w:r>
      <w:r w:rsidR="00452C4F" w:rsidRPr="00452C4F">
        <w:t xml:space="preserve"> be tested periodically </w:t>
      </w:r>
      <w:r w:rsidR="003A3F28">
        <w:t xml:space="preserve">(at least quarterly) </w:t>
      </w:r>
      <w:r w:rsidR="006358B3">
        <w:t>with narrow</w:t>
      </w:r>
      <w:r w:rsidR="00452C4F" w:rsidRPr="00452C4F">
        <w:t xml:space="preserve"> range pH paper (</w:t>
      </w:r>
      <w:r>
        <w:t>0-6 pH) to confirm the pH is &lt;2</w:t>
      </w:r>
      <w:r w:rsidR="00452C4F" w:rsidRPr="00452C4F">
        <w:t xml:space="preserve"> and </w:t>
      </w:r>
      <w:r w:rsidR="003A3F28">
        <w:t>documented on the bench sheet or on a separate log.</w:t>
      </w:r>
    </w:p>
    <w:p w14:paraId="2BC828E0" w14:textId="7E66FCC6" w:rsidR="00FD5774" w:rsidRDefault="00FD5774" w:rsidP="007A7D2A">
      <w:pPr>
        <w:pStyle w:val="11SOP"/>
      </w:pPr>
      <w:r>
        <w:t>Store</w:t>
      </w:r>
      <w:r w:rsidR="007A7D2A">
        <w:t xml:space="preserve"> the preserved samples </w:t>
      </w:r>
      <w:r w:rsidR="00E03968">
        <w:t xml:space="preserve">at </w:t>
      </w:r>
      <w:r w:rsidR="007A7D2A">
        <w:rPr>
          <w:rFonts w:cs="Arial"/>
        </w:rPr>
        <w:t>≤</w:t>
      </w:r>
      <w:proofErr w:type="spellStart"/>
      <w:r w:rsidR="007A7D2A">
        <w:t>6°C</w:t>
      </w:r>
      <w:proofErr w:type="spellEnd"/>
      <w:r w:rsidR="00B27B96" w:rsidRPr="00B27B96">
        <w:t xml:space="preserve"> </w:t>
      </w:r>
      <w:r w:rsidR="00B27B96">
        <w:t>but above freezing</w:t>
      </w:r>
      <w:r>
        <w:t>.</w:t>
      </w:r>
    </w:p>
    <w:p w14:paraId="38D4D10C" w14:textId="77777777" w:rsidR="007A7D2A" w:rsidRDefault="00FD5774" w:rsidP="007A7D2A">
      <w:pPr>
        <w:pStyle w:val="11SOP"/>
      </w:pPr>
      <w:r>
        <w:t xml:space="preserve">Hold times may not exceed </w:t>
      </w:r>
      <w:r w:rsidR="007A7D2A">
        <w:t>28 days</w:t>
      </w:r>
      <w:r>
        <w:t xml:space="preserve"> from the time of collection</w:t>
      </w:r>
      <w:r w:rsidR="007A7D2A">
        <w:t>.</w:t>
      </w:r>
    </w:p>
    <w:p w14:paraId="576491A0" w14:textId="77777777" w:rsidR="00F609CE" w:rsidRDefault="00F609CE" w:rsidP="00F609CE">
      <w:pPr>
        <w:pStyle w:val="10SOP"/>
      </w:pPr>
      <w:r>
        <w:t>Quality Control</w:t>
      </w:r>
    </w:p>
    <w:p w14:paraId="48337FEA" w14:textId="77777777" w:rsidR="00F609CE" w:rsidRDefault="00712AA7" w:rsidP="002019E5">
      <w:pPr>
        <w:pStyle w:val="11SOP"/>
        <w:keepNext/>
      </w:pPr>
      <w:r>
        <w:t>Initial Quality Control</w:t>
      </w:r>
    </w:p>
    <w:p w14:paraId="7ABF1736" w14:textId="77777777" w:rsidR="00712AA7" w:rsidRDefault="00F609CE" w:rsidP="00637332">
      <w:pPr>
        <w:pStyle w:val="111SOP"/>
        <w:ind w:hanging="990"/>
      </w:pPr>
      <w:r>
        <w:t xml:space="preserve">All analysts shall perform an IDC </w:t>
      </w:r>
      <w:r w:rsidRPr="00FD5774">
        <w:rPr>
          <w:u w:val="single"/>
        </w:rPr>
        <w:t xml:space="preserve">once </w:t>
      </w:r>
      <w:r w:rsidR="00353D6E" w:rsidRPr="00FD5774">
        <w:rPr>
          <w:u w:val="single"/>
        </w:rPr>
        <w:t>for each lab technician</w:t>
      </w:r>
      <w:r>
        <w:t>.</w:t>
      </w:r>
      <w:r w:rsidR="00353D6E">
        <w:t xml:space="preserve">  An IDC is required of all new lab technicians.  </w:t>
      </w:r>
    </w:p>
    <w:p w14:paraId="0FEA5F57" w14:textId="77777777" w:rsidR="002019E5" w:rsidRPr="00293411" w:rsidRDefault="002019E5" w:rsidP="002019E5">
      <w:pPr>
        <w:pStyle w:val="11SOP"/>
      </w:pPr>
      <w:r>
        <w:t xml:space="preserve">Initial and On-going </w:t>
      </w:r>
      <w:r w:rsidRPr="00293411">
        <w:t>Quality Control</w:t>
      </w:r>
    </w:p>
    <w:p w14:paraId="2D5855A9" w14:textId="77777777" w:rsidR="002019E5" w:rsidRPr="00293411" w:rsidRDefault="002019E5" w:rsidP="00637332">
      <w:pPr>
        <w:pStyle w:val="111SOP"/>
        <w:ind w:hanging="990"/>
      </w:pPr>
      <w:bookmarkStart w:id="1" w:name="_Hlk513535156"/>
      <w:r w:rsidRPr="00293411">
        <w:t xml:space="preserve">Method Detection Limit (MDL):  </w:t>
      </w:r>
      <w:r w:rsidR="00293411">
        <w:rPr>
          <w:u w:val="single"/>
        </w:rPr>
        <w:t>e</w:t>
      </w:r>
      <w:r w:rsidRPr="00293411">
        <w:rPr>
          <w:u w:val="single"/>
        </w:rPr>
        <w:t>very thirteen months</w:t>
      </w:r>
      <w:r w:rsidRPr="00293411">
        <w:t>, calculate and verify the MDL.</w:t>
      </w:r>
      <w:r w:rsidR="00670193" w:rsidRPr="00293411">
        <w:t xml:space="preserve">  </w:t>
      </w:r>
      <w:r w:rsidR="00293411" w:rsidRPr="00293411">
        <w:t>See the “Method Detection Limits and Reporting” section.</w:t>
      </w:r>
      <w:bookmarkEnd w:id="1"/>
    </w:p>
    <w:p w14:paraId="30DB120E" w14:textId="77777777" w:rsidR="002019E5" w:rsidRDefault="002019E5" w:rsidP="00637332">
      <w:pPr>
        <w:pStyle w:val="111SOP"/>
        <w:ind w:hanging="990"/>
      </w:pPr>
      <w:r>
        <w:t xml:space="preserve">Calibrate the spectrophotometer </w:t>
      </w:r>
      <w:r w:rsidRPr="001647EA">
        <w:rPr>
          <w:u w:val="single"/>
        </w:rPr>
        <w:t>annually or whenever the calibration check verification (CCV) standard fails</w:t>
      </w:r>
      <w:r>
        <w:t xml:space="preserve"> (see “Calibration and Standardization” section).  </w:t>
      </w:r>
    </w:p>
    <w:p w14:paraId="5F507EDF" w14:textId="77777777" w:rsidR="001A3944" w:rsidRDefault="001A3944" w:rsidP="00637332">
      <w:pPr>
        <w:pStyle w:val="111SOP"/>
        <w:ind w:hanging="990"/>
      </w:pPr>
      <w:r>
        <w:t xml:space="preserve">Verify the calibration </w:t>
      </w:r>
      <w:r w:rsidRPr="00750779">
        <w:rPr>
          <w:u w:val="single"/>
        </w:rPr>
        <w:t>immediately following the calibration curve</w:t>
      </w:r>
      <w:r>
        <w:t xml:space="preserve"> by analyzing an initial calibration verification (</w:t>
      </w:r>
      <w:proofErr w:type="spellStart"/>
      <w:r>
        <w:t>ICV</w:t>
      </w:r>
      <w:proofErr w:type="spellEnd"/>
      <w:r>
        <w:t xml:space="preserve">) standard.  The </w:t>
      </w:r>
      <w:proofErr w:type="spellStart"/>
      <w:r>
        <w:t>ICV</w:t>
      </w:r>
      <w:proofErr w:type="spellEnd"/>
      <w:r>
        <w:t xml:space="preserve"> must be from a second source standard.</w:t>
      </w:r>
    </w:p>
    <w:p w14:paraId="2E201E69" w14:textId="77777777" w:rsidR="00BC4856" w:rsidRDefault="001647EA" w:rsidP="00637332">
      <w:pPr>
        <w:pStyle w:val="111SOP"/>
        <w:ind w:hanging="990"/>
      </w:pPr>
      <w:r w:rsidRPr="000411E9">
        <w:rPr>
          <w:u w:val="single"/>
        </w:rPr>
        <w:t>Annually</w:t>
      </w:r>
      <w:r w:rsidR="00293411">
        <w:t xml:space="preserve"> a Proficiency</w:t>
      </w:r>
      <w:r>
        <w:t xml:space="preserve"> Test</w:t>
      </w:r>
      <w:r w:rsidR="00293411">
        <w:t>ing</w:t>
      </w:r>
      <w:r>
        <w:t xml:space="preserve"> (PT) sample must be obtained </w:t>
      </w:r>
      <w:r w:rsidR="00293411">
        <w:t xml:space="preserve">and analyzed </w:t>
      </w:r>
      <w:r>
        <w:t>from one of the Wisconsin DNR approved providers.</w:t>
      </w:r>
    </w:p>
    <w:p w14:paraId="213B5D1E" w14:textId="77777777" w:rsidR="00712AA7" w:rsidRDefault="00712AA7" w:rsidP="00F609CE">
      <w:pPr>
        <w:pStyle w:val="11SOP"/>
      </w:pPr>
      <w:r>
        <w:t>On-going Quality Control</w:t>
      </w:r>
    </w:p>
    <w:p w14:paraId="7D6FF97F" w14:textId="77777777" w:rsidR="00750779" w:rsidRDefault="00750779" w:rsidP="00637332">
      <w:pPr>
        <w:pStyle w:val="111SOP"/>
        <w:ind w:hanging="990"/>
      </w:pPr>
      <w:r>
        <w:t xml:space="preserve">Verify the calibration on non-calibration days with </w:t>
      </w:r>
      <w:r w:rsidRPr="00750779">
        <w:rPr>
          <w:u w:val="single"/>
        </w:rPr>
        <w:t xml:space="preserve">each </w:t>
      </w:r>
      <w:r>
        <w:rPr>
          <w:u w:val="single"/>
        </w:rPr>
        <w:t>analysis</w:t>
      </w:r>
      <w:r>
        <w:t xml:space="preserve"> </w:t>
      </w:r>
      <w:r w:rsidR="00AE3486">
        <w:t xml:space="preserve">and before any samples or other QC </w:t>
      </w:r>
      <w:r>
        <w:t xml:space="preserve">by analyzing a continuing calibration verification (CCV) standard.  </w:t>
      </w:r>
      <w:r w:rsidR="00670193">
        <w:t xml:space="preserve">Also run a CCV after every batch of 20 samples.  </w:t>
      </w:r>
    </w:p>
    <w:p w14:paraId="4BC386C8" w14:textId="77777777" w:rsidR="00BC4856" w:rsidRDefault="002019E5" w:rsidP="00637332">
      <w:pPr>
        <w:pStyle w:val="111SOP"/>
        <w:ind w:hanging="990"/>
      </w:pPr>
      <w:r>
        <w:lastRenderedPageBreak/>
        <w:t>Analyze a method blank</w:t>
      </w:r>
      <w:r w:rsidR="002D20E9">
        <w:t xml:space="preserve"> (MB)</w:t>
      </w:r>
      <w:r>
        <w:t xml:space="preserve"> </w:t>
      </w:r>
      <w:r w:rsidR="001647EA">
        <w:rPr>
          <w:u w:val="single"/>
        </w:rPr>
        <w:t>every</w:t>
      </w:r>
      <w:r w:rsidRPr="001647EA">
        <w:rPr>
          <w:u w:val="single"/>
        </w:rPr>
        <w:t xml:space="preserve"> run of 20 samples</w:t>
      </w:r>
      <w:r w:rsidR="001647EA" w:rsidRPr="001647EA">
        <w:t xml:space="preserve"> after the </w:t>
      </w:r>
      <w:proofErr w:type="spellStart"/>
      <w:r w:rsidR="001647EA" w:rsidRPr="001647EA">
        <w:t>ICV</w:t>
      </w:r>
      <w:proofErr w:type="spellEnd"/>
      <w:r w:rsidR="001647EA" w:rsidRPr="001647EA">
        <w:t xml:space="preserve"> or CCV</w:t>
      </w:r>
      <w:r w:rsidR="006D0E91">
        <w:t>.</w:t>
      </w:r>
      <w:r>
        <w:t xml:space="preserve">  </w:t>
      </w:r>
    </w:p>
    <w:p w14:paraId="2716740F" w14:textId="77777777" w:rsidR="006D0E91" w:rsidRDefault="006D0E91" w:rsidP="00637332">
      <w:pPr>
        <w:pStyle w:val="111SOP"/>
        <w:ind w:hanging="990"/>
      </w:pPr>
      <w:r>
        <w:t>A</w:t>
      </w:r>
      <w:r w:rsidR="00BC4856">
        <w:t xml:space="preserve">nalyze a laboratory control sample (LCS) with </w:t>
      </w:r>
      <w:r w:rsidR="00BC4856" w:rsidRPr="001647EA">
        <w:rPr>
          <w:u w:val="single"/>
        </w:rPr>
        <w:t>every run of 20 samples</w:t>
      </w:r>
      <w:r w:rsidR="00BC4856">
        <w:t>.</w:t>
      </w:r>
      <w:r w:rsidR="006F4477">
        <w:t xml:space="preserve">  </w:t>
      </w:r>
      <w:r w:rsidR="00670193">
        <w:t>(If the calibration standards are processed the same as samples and the CCV, the LCS will be the same as the CCV; in this case, a separate LCS does not need to be analyzed.)</w:t>
      </w:r>
    </w:p>
    <w:p w14:paraId="236F2F47" w14:textId="77777777" w:rsidR="00F609CE" w:rsidRDefault="00F609CE" w:rsidP="00F609CE">
      <w:pPr>
        <w:pStyle w:val="10SOP"/>
      </w:pPr>
      <w:r>
        <w:t>Calibration and Standardization</w:t>
      </w:r>
    </w:p>
    <w:p w14:paraId="7B7589BC" w14:textId="77777777" w:rsidR="009B03DC" w:rsidRDefault="009B03DC" w:rsidP="00633B14">
      <w:pPr>
        <w:pStyle w:val="11SOP"/>
      </w:pPr>
      <w:r w:rsidRPr="00633B14">
        <w:t xml:space="preserve">The ABC Company Model 123 </w:t>
      </w:r>
      <w:r w:rsidR="00D963D5">
        <w:t>spectrophoto</w:t>
      </w:r>
      <w:r w:rsidRPr="00633B14">
        <w:t xml:space="preserve">meter </w:t>
      </w:r>
      <w:r>
        <w:t>is used. Refer to the User Manual for additional information.</w:t>
      </w:r>
      <w:r w:rsidRPr="00BE78D4">
        <w:t xml:space="preserve"> </w:t>
      </w:r>
      <w:r>
        <w:t xml:space="preserve">   </w:t>
      </w:r>
    </w:p>
    <w:p w14:paraId="6731F46B" w14:textId="777BACB8" w:rsidR="001671DA" w:rsidRDefault="001671DA" w:rsidP="00633B14">
      <w:pPr>
        <w:pStyle w:val="11SOP"/>
      </w:pPr>
      <w:r>
        <w:t xml:space="preserve">Calibration </w:t>
      </w:r>
      <w:r w:rsidR="00FD06C9">
        <w:t xml:space="preserve">must be performed whenever the </w:t>
      </w:r>
      <w:proofErr w:type="spellStart"/>
      <w:r w:rsidR="00FD06C9">
        <w:t>ICV</w:t>
      </w:r>
      <w:proofErr w:type="spellEnd"/>
      <w:r w:rsidR="00FD06C9">
        <w:t xml:space="preserve"> or CCV fails, </w:t>
      </w:r>
      <w:r w:rsidR="00FD06C9" w:rsidRPr="00B939C1">
        <w:t xml:space="preserve">after non-routine maintenance, </w:t>
      </w:r>
      <w:r w:rsidR="00FD06C9">
        <w:t xml:space="preserve">the spectrophotometer </w:t>
      </w:r>
      <w:r w:rsidR="00FD06C9" w:rsidRPr="00B939C1">
        <w:t xml:space="preserve">leaves the direct control of the lab, </w:t>
      </w:r>
      <w:r w:rsidR="00FD06C9">
        <w:t xml:space="preserve">or there is a </w:t>
      </w:r>
      <w:r w:rsidR="00FD06C9" w:rsidRPr="00B939C1">
        <w:t>change in expected behavior</w:t>
      </w:r>
      <w:r w:rsidR="00FD06C9">
        <w:t>.</w:t>
      </w:r>
      <w:r w:rsidR="00FD06C9">
        <w:t xml:space="preserve"> </w:t>
      </w:r>
      <w:r w:rsidR="00FD06C9">
        <w:t xml:space="preserve"> </w:t>
      </w:r>
      <w:r w:rsidR="00C87C39">
        <w:t>(</w:t>
      </w:r>
      <w:r w:rsidR="00D1524E">
        <w:t>P</w:t>
      </w:r>
      <w:r w:rsidR="00EE37D3">
        <w:t>re-programmed vendor</w:t>
      </w:r>
      <w:r w:rsidR="00C87C39">
        <w:t xml:space="preserve"> calibration</w:t>
      </w:r>
      <w:r w:rsidR="00D1524E">
        <w:t>s</w:t>
      </w:r>
      <w:r w:rsidR="00C87C39">
        <w:t xml:space="preserve"> must not be used.)</w:t>
      </w:r>
    </w:p>
    <w:p w14:paraId="027AA848" w14:textId="77777777" w:rsidR="009D09FD" w:rsidRDefault="006F4477" w:rsidP="00633B14">
      <w:pPr>
        <w:pStyle w:val="11SOP"/>
      </w:pPr>
      <w:r>
        <w:t>The linear calibration curve must be generated with a calibration blank and at least 3 standards.</w:t>
      </w:r>
    </w:p>
    <w:p w14:paraId="36968BDA" w14:textId="77777777" w:rsidR="00E00DA7" w:rsidRDefault="00E00DA7" w:rsidP="00633B14">
      <w:pPr>
        <w:pStyle w:val="11SOP"/>
      </w:pPr>
      <w:r>
        <w:t xml:space="preserve">Prepare the calibration standards from the </w:t>
      </w:r>
      <w:r w:rsidR="00E96C89">
        <w:t xml:space="preserve">5 mg/L </w:t>
      </w:r>
      <w:r>
        <w:t>phosphorus s</w:t>
      </w:r>
      <w:r w:rsidR="00E96C89">
        <w:t>tock s</w:t>
      </w:r>
      <w:r>
        <w:t>tandard.</w:t>
      </w:r>
      <w:r w:rsidR="00E96C89">
        <w:t xml:space="preserve">  Using a </w:t>
      </w:r>
      <w:proofErr w:type="gramStart"/>
      <w:r w:rsidR="00E96C89">
        <w:t>class</w:t>
      </w:r>
      <w:proofErr w:type="gramEnd"/>
      <w:r w:rsidR="00E96C89">
        <w:t xml:space="preserve"> A pipet, add</w:t>
      </w:r>
      <w:r w:rsidR="00455E7E">
        <w:t xml:space="preserve"> the following amounts of 5 mg/L phosphorous </w:t>
      </w:r>
      <w:r w:rsidR="00E96C89">
        <w:t xml:space="preserve">stock </w:t>
      </w:r>
      <w:r w:rsidR="00455E7E">
        <w:t>standard into a 50-mL volumetric flask.  Then fill the volu</w:t>
      </w:r>
      <w:r w:rsidR="00E96C89">
        <w:t>metric flask to the line with distilled</w:t>
      </w:r>
      <w:r w:rsidR="00455E7E">
        <w:t xml:space="preserve"> water.</w:t>
      </w:r>
    </w:p>
    <w:tbl>
      <w:tblPr>
        <w:tblStyle w:val="TableGrid"/>
        <w:tblW w:w="0" w:type="auto"/>
        <w:tblInd w:w="1435" w:type="dxa"/>
        <w:tblLook w:val="04A0" w:firstRow="1" w:lastRow="0" w:firstColumn="1" w:lastColumn="0" w:noHBand="0" w:noVBand="1"/>
      </w:tblPr>
      <w:tblGrid>
        <w:gridCol w:w="1611"/>
        <w:gridCol w:w="1299"/>
        <w:gridCol w:w="1260"/>
        <w:gridCol w:w="1710"/>
      </w:tblGrid>
      <w:tr w:rsidR="00455E7E" w:rsidRPr="00E96C89" w14:paraId="54A64335" w14:textId="77777777" w:rsidTr="00637332">
        <w:tc>
          <w:tcPr>
            <w:tcW w:w="1611" w:type="dxa"/>
            <w:shd w:val="clear" w:color="auto" w:fill="BFBFBF" w:themeFill="background1" w:themeFillShade="BF"/>
          </w:tcPr>
          <w:p w14:paraId="487FFECB" w14:textId="77777777" w:rsidR="00455E7E" w:rsidRPr="00E96C89" w:rsidRDefault="00455E7E" w:rsidP="00E00DA7">
            <w:pPr>
              <w:jc w:val="center"/>
              <w:rPr>
                <w:rFonts w:ascii="Arial" w:hAnsi="Arial" w:cs="Arial"/>
                <w:sz w:val="22"/>
              </w:rPr>
            </w:pPr>
            <w:r w:rsidRPr="00E96C89">
              <w:rPr>
                <w:rFonts w:ascii="Arial" w:hAnsi="Arial" w:cs="Arial"/>
                <w:sz w:val="22"/>
              </w:rPr>
              <w:t>Standard Concentration (mg/L)</w:t>
            </w:r>
          </w:p>
        </w:tc>
        <w:tc>
          <w:tcPr>
            <w:tcW w:w="1299" w:type="dxa"/>
            <w:shd w:val="clear" w:color="auto" w:fill="BFBFBF" w:themeFill="background1" w:themeFillShade="BF"/>
          </w:tcPr>
          <w:p w14:paraId="715E7EFF" w14:textId="77777777" w:rsidR="00455E7E" w:rsidRPr="00E96C89" w:rsidRDefault="00455E7E" w:rsidP="00E00DA7">
            <w:pPr>
              <w:jc w:val="center"/>
              <w:rPr>
                <w:rFonts w:ascii="Arial" w:hAnsi="Arial" w:cs="Arial"/>
                <w:sz w:val="22"/>
              </w:rPr>
            </w:pPr>
            <w:r w:rsidRPr="00E96C89">
              <w:rPr>
                <w:rFonts w:ascii="Arial" w:hAnsi="Arial" w:cs="Arial"/>
                <w:sz w:val="22"/>
              </w:rPr>
              <w:t xml:space="preserve">Volume of </w:t>
            </w:r>
            <w:r w:rsidR="00E96C89">
              <w:rPr>
                <w:rFonts w:ascii="Arial" w:hAnsi="Arial" w:cs="Arial"/>
                <w:sz w:val="22"/>
              </w:rPr>
              <w:t xml:space="preserve">5 mg/L </w:t>
            </w:r>
            <w:r w:rsidRPr="00E96C89">
              <w:rPr>
                <w:rFonts w:ascii="Arial" w:hAnsi="Arial" w:cs="Arial"/>
                <w:sz w:val="22"/>
              </w:rPr>
              <w:t>standard (mL)</w:t>
            </w:r>
          </w:p>
        </w:tc>
        <w:tc>
          <w:tcPr>
            <w:tcW w:w="1260" w:type="dxa"/>
            <w:shd w:val="clear" w:color="auto" w:fill="BFBFBF" w:themeFill="background1" w:themeFillShade="BF"/>
          </w:tcPr>
          <w:p w14:paraId="513AE0E4" w14:textId="77777777" w:rsidR="00455E7E" w:rsidRPr="00E96C89" w:rsidRDefault="00455E7E" w:rsidP="00E00DA7">
            <w:pPr>
              <w:jc w:val="center"/>
              <w:rPr>
                <w:rFonts w:ascii="Arial" w:hAnsi="Arial" w:cs="Arial"/>
                <w:sz w:val="22"/>
              </w:rPr>
            </w:pPr>
            <w:r w:rsidRPr="00E96C89">
              <w:rPr>
                <w:rFonts w:ascii="Arial" w:hAnsi="Arial" w:cs="Arial"/>
                <w:sz w:val="22"/>
              </w:rPr>
              <w:t>Final total volume (mL)</w:t>
            </w:r>
          </w:p>
        </w:tc>
        <w:tc>
          <w:tcPr>
            <w:tcW w:w="1710" w:type="dxa"/>
            <w:shd w:val="clear" w:color="auto" w:fill="BFBFBF" w:themeFill="background1" w:themeFillShade="BF"/>
          </w:tcPr>
          <w:p w14:paraId="5AD2662A" w14:textId="77777777" w:rsidR="00455E7E" w:rsidRPr="00E96C89" w:rsidRDefault="00455E7E" w:rsidP="00E00DA7">
            <w:pPr>
              <w:jc w:val="center"/>
              <w:rPr>
                <w:rFonts w:ascii="Arial" w:hAnsi="Arial" w:cs="Arial"/>
                <w:sz w:val="22"/>
              </w:rPr>
            </w:pPr>
            <w:r w:rsidRPr="00E96C89">
              <w:rPr>
                <w:rFonts w:ascii="Arial" w:hAnsi="Arial" w:cs="Arial"/>
                <w:sz w:val="22"/>
              </w:rPr>
              <w:t>Calibration standard final concentration (mg/L</w:t>
            </w:r>
            <w:r w:rsidR="00E96C89">
              <w:rPr>
                <w:rFonts w:ascii="Arial" w:hAnsi="Arial" w:cs="Arial"/>
                <w:sz w:val="22"/>
              </w:rPr>
              <w:t xml:space="preserve"> as P</w:t>
            </w:r>
            <w:r w:rsidRPr="00E96C89">
              <w:rPr>
                <w:rFonts w:ascii="Arial" w:hAnsi="Arial" w:cs="Arial"/>
                <w:sz w:val="22"/>
              </w:rPr>
              <w:t>)</w:t>
            </w:r>
          </w:p>
        </w:tc>
      </w:tr>
      <w:tr w:rsidR="00455E7E" w:rsidRPr="00E96C89" w14:paraId="2A9FD009" w14:textId="77777777" w:rsidTr="00637332">
        <w:tc>
          <w:tcPr>
            <w:tcW w:w="1611" w:type="dxa"/>
          </w:tcPr>
          <w:p w14:paraId="096D1BF4"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39D60EFF" w14:textId="77777777" w:rsidR="00455E7E" w:rsidRPr="00E96C89" w:rsidRDefault="00455E7E" w:rsidP="00E00DA7">
            <w:pPr>
              <w:jc w:val="center"/>
              <w:rPr>
                <w:rFonts w:ascii="Arial" w:hAnsi="Arial" w:cs="Arial"/>
                <w:sz w:val="22"/>
              </w:rPr>
            </w:pPr>
            <w:r w:rsidRPr="00E96C89">
              <w:rPr>
                <w:rFonts w:ascii="Arial" w:hAnsi="Arial" w:cs="Arial"/>
                <w:sz w:val="22"/>
              </w:rPr>
              <w:t>0</w:t>
            </w:r>
          </w:p>
        </w:tc>
        <w:tc>
          <w:tcPr>
            <w:tcW w:w="1260" w:type="dxa"/>
          </w:tcPr>
          <w:p w14:paraId="640A1EAE"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7347F570" w14:textId="77777777" w:rsidR="00455E7E" w:rsidRPr="00E96C89" w:rsidRDefault="00455E7E" w:rsidP="00E00DA7">
            <w:pPr>
              <w:jc w:val="center"/>
              <w:rPr>
                <w:rFonts w:ascii="Arial" w:hAnsi="Arial" w:cs="Arial"/>
                <w:sz w:val="22"/>
              </w:rPr>
            </w:pPr>
            <w:r w:rsidRPr="00E96C89">
              <w:rPr>
                <w:rFonts w:ascii="Arial" w:hAnsi="Arial" w:cs="Arial"/>
                <w:sz w:val="22"/>
              </w:rPr>
              <w:t>0</w:t>
            </w:r>
          </w:p>
        </w:tc>
      </w:tr>
      <w:tr w:rsidR="00455E7E" w:rsidRPr="00E96C89" w14:paraId="7FE792C7" w14:textId="77777777" w:rsidTr="00637332">
        <w:tc>
          <w:tcPr>
            <w:tcW w:w="1611" w:type="dxa"/>
          </w:tcPr>
          <w:p w14:paraId="4FFCB6F8"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2D042FCC" w14:textId="77777777" w:rsidR="00455E7E" w:rsidRPr="00E96C89" w:rsidRDefault="00455E7E" w:rsidP="00E00DA7">
            <w:pPr>
              <w:jc w:val="center"/>
              <w:rPr>
                <w:rFonts w:ascii="Arial" w:hAnsi="Arial" w:cs="Arial"/>
                <w:sz w:val="22"/>
              </w:rPr>
            </w:pPr>
            <w:r w:rsidRPr="00E96C89">
              <w:rPr>
                <w:rFonts w:ascii="Arial" w:hAnsi="Arial" w:cs="Arial"/>
                <w:sz w:val="22"/>
              </w:rPr>
              <w:t>2</w:t>
            </w:r>
          </w:p>
        </w:tc>
        <w:tc>
          <w:tcPr>
            <w:tcW w:w="1260" w:type="dxa"/>
          </w:tcPr>
          <w:p w14:paraId="14AA6793"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68542A4C" w14:textId="77777777" w:rsidR="00455E7E" w:rsidRPr="00E96C89" w:rsidRDefault="00455E7E" w:rsidP="00E00DA7">
            <w:pPr>
              <w:jc w:val="center"/>
              <w:rPr>
                <w:rFonts w:ascii="Arial" w:hAnsi="Arial" w:cs="Arial"/>
                <w:sz w:val="22"/>
              </w:rPr>
            </w:pPr>
            <w:r w:rsidRPr="00E96C89">
              <w:rPr>
                <w:rFonts w:ascii="Arial" w:hAnsi="Arial" w:cs="Arial"/>
                <w:sz w:val="22"/>
              </w:rPr>
              <w:t>0.2</w:t>
            </w:r>
          </w:p>
        </w:tc>
      </w:tr>
      <w:tr w:rsidR="00455E7E" w:rsidRPr="00E96C89" w14:paraId="00C53E60" w14:textId="77777777" w:rsidTr="00637332">
        <w:tc>
          <w:tcPr>
            <w:tcW w:w="1611" w:type="dxa"/>
          </w:tcPr>
          <w:p w14:paraId="71F6CF15"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24733CF6" w14:textId="77777777" w:rsidR="00455E7E" w:rsidRPr="00E96C89" w:rsidRDefault="00455E7E" w:rsidP="00E00DA7">
            <w:pPr>
              <w:jc w:val="center"/>
              <w:rPr>
                <w:rFonts w:ascii="Arial" w:hAnsi="Arial" w:cs="Arial"/>
                <w:sz w:val="22"/>
              </w:rPr>
            </w:pPr>
            <w:r w:rsidRPr="00E96C89">
              <w:rPr>
                <w:rFonts w:ascii="Arial" w:hAnsi="Arial" w:cs="Arial"/>
                <w:sz w:val="22"/>
              </w:rPr>
              <w:t>4</w:t>
            </w:r>
          </w:p>
        </w:tc>
        <w:tc>
          <w:tcPr>
            <w:tcW w:w="1260" w:type="dxa"/>
          </w:tcPr>
          <w:p w14:paraId="73F6653B"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4E968DA8" w14:textId="77777777" w:rsidR="00455E7E" w:rsidRPr="00E96C89" w:rsidRDefault="00455E7E" w:rsidP="00E00DA7">
            <w:pPr>
              <w:jc w:val="center"/>
              <w:rPr>
                <w:rFonts w:ascii="Arial" w:hAnsi="Arial" w:cs="Arial"/>
                <w:sz w:val="22"/>
              </w:rPr>
            </w:pPr>
            <w:r w:rsidRPr="00E96C89">
              <w:rPr>
                <w:rFonts w:ascii="Arial" w:hAnsi="Arial" w:cs="Arial"/>
                <w:sz w:val="22"/>
              </w:rPr>
              <w:t>0.4</w:t>
            </w:r>
          </w:p>
        </w:tc>
      </w:tr>
      <w:tr w:rsidR="00455E7E" w:rsidRPr="00E96C89" w14:paraId="6EAE8E7A" w14:textId="77777777" w:rsidTr="00637332">
        <w:tc>
          <w:tcPr>
            <w:tcW w:w="1611" w:type="dxa"/>
          </w:tcPr>
          <w:p w14:paraId="29F6A246"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75BC1026" w14:textId="77777777" w:rsidR="00455E7E" w:rsidRPr="00E96C89" w:rsidRDefault="00455E7E" w:rsidP="00E00DA7">
            <w:pPr>
              <w:jc w:val="center"/>
              <w:rPr>
                <w:rFonts w:ascii="Arial" w:hAnsi="Arial" w:cs="Arial"/>
                <w:sz w:val="22"/>
              </w:rPr>
            </w:pPr>
            <w:r w:rsidRPr="00E96C89">
              <w:rPr>
                <w:rFonts w:ascii="Arial" w:hAnsi="Arial" w:cs="Arial"/>
                <w:sz w:val="22"/>
              </w:rPr>
              <w:t>6</w:t>
            </w:r>
          </w:p>
        </w:tc>
        <w:tc>
          <w:tcPr>
            <w:tcW w:w="1260" w:type="dxa"/>
          </w:tcPr>
          <w:p w14:paraId="4AC47A67"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6E98958F" w14:textId="77777777" w:rsidR="00455E7E" w:rsidRPr="00E96C89" w:rsidRDefault="00455E7E" w:rsidP="00E00DA7">
            <w:pPr>
              <w:jc w:val="center"/>
              <w:rPr>
                <w:rFonts w:ascii="Arial" w:hAnsi="Arial" w:cs="Arial"/>
                <w:sz w:val="22"/>
              </w:rPr>
            </w:pPr>
            <w:r w:rsidRPr="00E96C89">
              <w:rPr>
                <w:rFonts w:ascii="Arial" w:hAnsi="Arial" w:cs="Arial"/>
                <w:sz w:val="22"/>
              </w:rPr>
              <w:t>0.6</w:t>
            </w:r>
          </w:p>
        </w:tc>
      </w:tr>
      <w:tr w:rsidR="00455E7E" w:rsidRPr="00E96C89" w14:paraId="3E8EC4F8" w14:textId="77777777" w:rsidTr="00637332">
        <w:tc>
          <w:tcPr>
            <w:tcW w:w="1611" w:type="dxa"/>
          </w:tcPr>
          <w:p w14:paraId="399CBE28"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4D37C44B" w14:textId="77777777" w:rsidR="00455E7E" w:rsidRPr="00E96C89" w:rsidRDefault="00455E7E" w:rsidP="00E00DA7">
            <w:pPr>
              <w:jc w:val="center"/>
              <w:rPr>
                <w:rFonts w:ascii="Arial" w:hAnsi="Arial" w:cs="Arial"/>
                <w:sz w:val="22"/>
              </w:rPr>
            </w:pPr>
            <w:r w:rsidRPr="00E96C89">
              <w:rPr>
                <w:rFonts w:ascii="Arial" w:hAnsi="Arial" w:cs="Arial"/>
                <w:sz w:val="22"/>
              </w:rPr>
              <w:t>8</w:t>
            </w:r>
          </w:p>
        </w:tc>
        <w:tc>
          <w:tcPr>
            <w:tcW w:w="1260" w:type="dxa"/>
          </w:tcPr>
          <w:p w14:paraId="6F726130"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12075684" w14:textId="77777777" w:rsidR="00455E7E" w:rsidRPr="00E96C89" w:rsidRDefault="00455E7E" w:rsidP="00E00DA7">
            <w:pPr>
              <w:jc w:val="center"/>
              <w:rPr>
                <w:rFonts w:ascii="Arial" w:hAnsi="Arial" w:cs="Arial"/>
                <w:sz w:val="22"/>
              </w:rPr>
            </w:pPr>
            <w:r w:rsidRPr="00E96C89">
              <w:rPr>
                <w:rFonts w:ascii="Arial" w:hAnsi="Arial" w:cs="Arial"/>
                <w:sz w:val="22"/>
              </w:rPr>
              <w:t>0.8</w:t>
            </w:r>
          </w:p>
        </w:tc>
      </w:tr>
      <w:tr w:rsidR="00455E7E" w:rsidRPr="00E96C89" w14:paraId="1BF2A76F" w14:textId="77777777" w:rsidTr="00637332">
        <w:tc>
          <w:tcPr>
            <w:tcW w:w="1611" w:type="dxa"/>
          </w:tcPr>
          <w:p w14:paraId="06272EB8" w14:textId="77777777" w:rsidR="00455E7E" w:rsidRPr="00E96C89" w:rsidRDefault="00455E7E" w:rsidP="00E00DA7">
            <w:pPr>
              <w:jc w:val="center"/>
              <w:rPr>
                <w:rFonts w:ascii="Arial" w:hAnsi="Arial" w:cs="Arial"/>
                <w:sz w:val="22"/>
              </w:rPr>
            </w:pPr>
            <w:r w:rsidRPr="00E96C89">
              <w:rPr>
                <w:rFonts w:ascii="Arial" w:hAnsi="Arial" w:cs="Arial"/>
                <w:sz w:val="22"/>
              </w:rPr>
              <w:t>5</w:t>
            </w:r>
          </w:p>
        </w:tc>
        <w:tc>
          <w:tcPr>
            <w:tcW w:w="1299" w:type="dxa"/>
          </w:tcPr>
          <w:p w14:paraId="28380D68" w14:textId="77777777" w:rsidR="00455E7E" w:rsidRPr="00E96C89" w:rsidRDefault="00455E7E" w:rsidP="00E00DA7">
            <w:pPr>
              <w:jc w:val="center"/>
              <w:rPr>
                <w:rFonts w:ascii="Arial" w:hAnsi="Arial" w:cs="Arial"/>
                <w:sz w:val="22"/>
              </w:rPr>
            </w:pPr>
            <w:r w:rsidRPr="00E96C89">
              <w:rPr>
                <w:rFonts w:ascii="Arial" w:hAnsi="Arial" w:cs="Arial"/>
                <w:sz w:val="22"/>
              </w:rPr>
              <w:t>10</w:t>
            </w:r>
          </w:p>
        </w:tc>
        <w:tc>
          <w:tcPr>
            <w:tcW w:w="1260" w:type="dxa"/>
          </w:tcPr>
          <w:p w14:paraId="096709FA" w14:textId="77777777" w:rsidR="00455E7E" w:rsidRPr="00E96C89" w:rsidRDefault="00455E7E" w:rsidP="00E00DA7">
            <w:pPr>
              <w:jc w:val="center"/>
              <w:rPr>
                <w:rFonts w:ascii="Arial" w:hAnsi="Arial" w:cs="Arial"/>
                <w:sz w:val="22"/>
              </w:rPr>
            </w:pPr>
            <w:r w:rsidRPr="00E96C89">
              <w:rPr>
                <w:rFonts w:ascii="Arial" w:hAnsi="Arial" w:cs="Arial"/>
                <w:sz w:val="22"/>
              </w:rPr>
              <w:t>50</w:t>
            </w:r>
          </w:p>
        </w:tc>
        <w:tc>
          <w:tcPr>
            <w:tcW w:w="1710" w:type="dxa"/>
          </w:tcPr>
          <w:p w14:paraId="50F68254" w14:textId="77777777" w:rsidR="00455E7E" w:rsidRPr="00E96C89" w:rsidRDefault="00455E7E" w:rsidP="00E00DA7">
            <w:pPr>
              <w:jc w:val="center"/>
              <w:rPr>
                <w:rFonts w:ascii="Arial" w:hAnsi="Arial" w:cs="Arial"/>
                <w:sz w:val="22"/>
              </w:rPr>
            </w:pPr>
            <w:r w:rsidRPr="00E96C89">
              <w:rPr>
                <w:rFonts w:ascii="Arial" w:hAnsi="Arial" w:cs="Arial"/>
                <w:sz w:val="22"/>
              </w:rPr>
              <w:t>1.0</w:t>
            </w:r>
          </w:p>
        </w:tc>
      </w:tr>
    </w:tbl>
    <w:p w14:paraId="470E1BC6" w14:textId="77777777" w:rsidR="00E00DA7" w:rsidRDefault="00E00DA7" w:rsidP="00E00DA7">
      <w:pPr>
        <w:pStyle w:val="11SOP"/>
        <w:numPr>
          <w:ilvl w:val="0"/>
          <w:numId w:val="0"/>
        </w:numPr>
        <w:ind w:left="1440"/>
      </w:pPr>
    </w:p>
    <w:p w14:paraId="034C5B97" w14:textId="77777777" w:rsidR="00455E7E" w:rsidRDefault="00875CFF" w:rsidP="00875CFF">
      <w:pPr>
        <w:pStyle w:val="11SOP"/>
      </w:pPr>
      <w:r>
        <w:t>Follow the “P</w:t>
      </w:r>
      <w:r w:rsidR="00455E7E">
        <w:t>rocedure</w:t>
      </w:r>
      <w:r>
        <w:t>” section</w:t>
      </w:r>
      <w:r w:rsidR="00843797">
        <w:t xml:space="preserve"> for digestion and analysis of </w:t>
      </w:r>
      <w:proofErr w:type="gramStart"/>
      <w:r>
        <w:t>all of</w:t>
      </w:r>
      <w:proofErr w:type="gramEnd"/>
      <w:r>
        <w:t xml:space="preserve"> the calibration standards just as samples are digested</w:t>
      </w:r>
      <w:r w:rsidR="00843797">
        <w:t xml:space="preserve"> and analyzed</w:t>
      </w:r>
      <w:r>
        <w:t>.</w:t>
      </w:r>
    </w:p>
    <w:p w14:paraId="23626F79" w14:textId="77777777" w:rsidR="001671DA" w:rsidRDefault="001671DA" w:rsidP="00633B14">
      <w:pPr>
        <w:pStyle w:val="11SOP"/>
      </w:pPr>
      <w:r>
        <w:t>T</w:t>
      </w:r>
      <w:r w:rsidR="00E96C89">
        <w:t>he following are the in</w:t>
      </w:r>
      <w:r w:rsidR="00567846">
        <w:t>structions for creating a user-</w:t>
      </w:r>
      <w:r w:rsidR="00E96C89">
        <w:t>defined calibration curve on t</w:t>
      </w:r>
      <w:r>
        <w:t xml:space="preserve">he </w:t>
      </w:r>
      <w:r w:rsidR="001865A3">
        <w:t>Model 123 meter</w:t>
      </w:r>
      <w:r w:rsidR="00E96C89">
        <w:t xml:space="preserve"> to calculate all sample results directly on the instrument (refer to the instrument manual for further instruction on how to use this feature):</w:t>
      </w:r>
    </w:p>
    <w:p w14:paraId="125B309B" w14:textId="77777777" w:rsidR="00875CFF" w:rsidRDefault="00875CFF" w:rsidP="00875CFF">
      <w:pPr>
        <w:pStyle w:val="111SOP"/>
        <w:numPr>
          <w:ilvl w:val="0"/>
          <w:numId w:val="0"/>
        </w:numPr>
        <w:ind w:left="1440"/>
      </w:pPr>
      <w:r>
        <w:t>After the timer goes off, insert the 0 standard (calibration blank) and enter the concentration (0.00), press enter, press read to get the absorbance value, and record absorbance on the bench sheet</w:t>
      </w:r>
      <w:r w:rsidR="001671DA" w:rsidRPr="001671DA">
        <w:t>.</w:t>
      </w:r>
      <w:r>
        <w:t xml:space="preserve">  Insert the 0.2 standard and enter the concentration (0.2), press enter, press read, and record the absorbance. </w:t>
      </w:r>
      <w:r w:rsidR="00EA3EF6">
        <w:t xml:space="preserve"> Do this with </w:t>
      </w:r>
      <w:r w:rsidR="00E96C89">
        <w:t>each of the prepared</w:t>
      </w:r>
      <w:r>
        <w:t xml:space="preserve"> standards.  After the 1.0 standard concentration was entered, press exit, display will show “Force Zero on/off,” and select force Zero off.  Press down, display will show Calibration Formula, press enter, and select formula for </w:t>
      </w:r>
      <w:proofErr w:type="spellStart"/>
      <w:r>
        <w:t>r2</w:t>
      </w:r>
      <w:proofErr w:type="spellEnd"/>
      <w:r>
        <w:t>=, press enter.  Press down arrow to Store Program, and press enter.</w:t>
      </w:r>
    </w:p>
    <w:p w14:paraId="4F6464E7" w14:textId="77777777" w:rsidR="00443512" w:rsidRDefault="00443512" w:rsidP="00633B14">
      <w:pPr>
        <w:pStyle w:val="11SOP"/>
      </w:pPr>
      <w:r>
        <w:lastRenderedPageBreak/>
        <w:t xml:space="preserve">Alternatively, </w:t>
      </w:r>
      <w:r w:rsidR="00CE16C6">
        <w:t>use the WI DNR supplied spreadsheet to record all absorbances and calculate calibration results</w:t>
      </w:r>
      <w:r>
        <w:t>.</w:t>
      </w:r>
    </w:p>
    <w:p w14:paraId="597FCD67" w14:textId="77777777" w:rsidR="00455E7E" w:rsidRDefault="00455E7E" w:rsidP="00633B14">
      <w:pPr>
        <w:pStyle w:val="11SOP"/>
      </w:pPr>
      <w:r>
        <w:t xml:space="preserve">The calibration </w:t>
      </w:r>
      <w:proofErr w:type="spellStart"/>
      <w:r>
        <w:t>r-value</w:t>
      </w:r>
      <w:proofErr w:type="spellEnd"/>
      <w:r>
        <w:t xml:space="preserve"> must be </w:t>
      </w:r>
      <w:r>
        <w:rPr>
          <w:rFonts w:cs="Arial"/>
        </w:rPr>
        <w:t>≥</w:t>
      </w:r>
      <w:r>
        <w:t>0.995.  If not, re-calibrate.</w:t>
      </w:r>
    </w:p>
    <w:p w14:paraId="16F7E04E" w14:textId="77777777" w:rsidR="001671DA" w:rsidRDefault="001671DA" w:rsidP="00633B14">
      <w:pPr>
        <w:pStyle w:val="11SOP"/>
      </w:pPr>
      <w:r>
        <w:t xml:space="preserve">Document </w:t>
      </w:r>
      <w:proofErr w:type="gramStart"/>
      <w:r w:rsidR="00875CFF">
        <w:t>all of</w:t>
      </w:r>
      <w:proofErr w:type="gramEnd"/>
      <w:r w:rsidR="00875CFF">
        <w:t xml:space="preserve"> </w:t>
      </w:r>
      <w:r>
        <w:t>the calibration result</w:t>
      </w:r>
      <w:r w:rsidR="00750779">
        <w:t xml:space="preserve">s </w:t>
      </w:r>
      <w:r w:rsidR="00875CFF">
        <w:t xml:space="preserve">and information </w:t>
      </w:r>
      <w:r w:rsidR="00750779">
        <w:t>on the bench sheet</w:t>
      </w:r>
      <w:r>
        <w:t>.</w:t>
      </w:r>
      <w:r w:rsidR="00A02780">
        <w:t xml:space="preserve">  </w:t>
      </w:r>
    </w:p>
    <w:p w14:paraId="3E64DBCA" w14:textId="77777777" w:rsidR="00043E6D" w:rsidRDefault="00F609CE" w:rsidP="00043E6D">
      <w:pPr>
        <w:pStyle w:val="10SOP"/>
      </w:pPr>
      <w:r>
        <w:t>Procedure</w:t>
      </w:r>
    </w:p>
    <w:p w14:paraId="3E50AADA" w14:textId="77777777" w:rsidR="00CE16C6" w:rsidRDefault="002D20E9" w:rsidP="00CE16C6">
      <w:pPr>
        <w:pStyle w:val="11SOP"/>
      </w:pPr>
      <w:r>
        <w:t>Warm all samples</w:t>
      </w:r>
      <w:r w:rsidR="00843797">
        <w:t>, standards,</w:t>
      </w:r>
      <w:r>
        <w:t xml:space="preserve"> and reagents to room temperature.</w:t>
      </w:r>
    </w:p>
    <w:p w14:paraId="37B73833" w14:textId="77777777" w:rsidR="002D20E9" w:rsidRDefault="002D20E9" w:rsidP="008064C1">
      <w:pPr>
        <w:pStyle w:val="11SOP"/>
      </w:pPr>
      <w:r>
        <w:t>Labe</w:t>
      </w:r>
      <w:r w:rsidR="007A7D2A">
        <w:t xml:space="preserve">l all </w:t>
      </w:r>
      <w:r w:rsidR="00CF2954">
        <w:t>beakers or flasks</w:t>
      </w:r>
      <w:r w:rsidR="007A7D2A">
        <w:t xml:space="preserve"> that will be needed including </w:t>
      </w:r>
      <w:r w:rsidR="00D1524E">
        <w:t>flasks</w:t>
      </w:r>
      <w:r w:rsidR="007A7D2A">
        <w:t xml:space="preserve"> for QC samples.</w:t>
      </w:r>
    </w:p>
    <w:p w14:paraId="0AF3CF8D" w14:textId="77777777" w:rsidR="00DC7943" w:rsidRDefault="00CF2954" w:rsidP="00DC7943">
      <w:pPr>
        <w:pStyle w:val="11SOP"/>
      </w:pPr>
      <w:r>
        <w:t>Using a graduated cylinder, add</w:t>
      </w:r>
      <w:r w:rsidR="00DC7943">
        <w:t xml:space="preserve"> 5</w:t>
      </w:r>
      <w:r>
        <w:t>0</w:t>
      </w:r>
      <w:r w:rsidR="00DC7943">
        <w:t xml:space="preserve"> mL </w:t>
      </w:r>
      <w:r>
        <w:t xml:space="preserve">or a suitable portion </w:t>
      </w:r>
      <w:r w:rsidR="00DC7943">
        <w:t xml:space="preserve">of </w:t>
      </w:r>
      <w:r>
        <w:t>thoroughly mixed sample</w:t>
      </w:r>
      <w:r w:rsidR="00DC7943">
        <w:t xml:space="preserve"> </w:t>
      </w:r>
      <w:r w:rsidR="00F2335A">
        <w:t xml:space="preserve">and QC samples </w:t>
      </w:r>
      <w:r w:rsidR="00DC7943">
        <w:t xml:space="preserve">to the </w:t>
      </w:r>
      <w:r w:rsidR="00AD2E63">
        <w:t xml:space="preserve">appropriate </w:t>
      </w:r>
      <w:r w:rsidR="0035720D">
        <w:t>labeled flasks</w:t>
      </w:r>
      <w:r w:rsidR="00DC7943">
        <w:t>.</w:t>
      </w:r>
    </w:p>
    <w:p w14:paraId="466E1197" w14:textId="77777777" w:rsidR="00DC7943" w:rsidRDefault="00DC7943" w:rsidP="00DC7943">
      <w:pPr>
        <w:pStyle w:val="11SOP"/>
      </w:pPr>
      <w:r>
        <w:t xml:space="preserve">Add </w:t>
      </w:r>
      <w:r w:rsidR="00CF2954">
        <w:t>1 drop phenolphthalein indicator solution</w:t>
      </w:r>
      <w:r>
        <w:t>.</w:t>
      </w:r>
      <w:r w:rsidR="0035720D">
        <w:t xml:space="preserve">  If a re</w:t>
      </w:r>
      <w:r w:rsidR="00CF2954">
        <w:t>d colo</w:t>
      </w:r>
      <w:r w:rsidR="0035720D">
        <w:t>r develop</w:t>
      </w:r>
      <w:r w:rsidR="00CF2954">
        <w:t xml:space="preserve">s, add </w:t>
      </w:r>
      <w:proofErr w:type="spellStart"/>
      <w:r w:rsidR="00CF2954">
        <w:t>H</w:t>
      </w:r>
      <w:r w:rsidR="00CF2954">
        <w:rPr>
          <w:vertAlign w:val="subscript"/>
        </w:rPr>
        <w:t>2</w:t>
      </w:r>
      <w:r w:rsidR="00CF2954">
        <w:t>SO</w:t>
      </w:r>
      <w:r w:rsidR="00CF2954" w:rsidRPr="00CF2954">
        <w:rPr>
          <w:vertAlign w:val="subscript"/>
        </w:rPr>
        <w:t>4</w:t>
      </w:r>
      <w:proofErr w:type="spellEnd"/>
      <w:r w:rsidR="00CF2954">
        <w:t xml:space="preserve"> solution dropwise to just discharge the color.</w:t>
      </w:r>
    </w:p>
    <w:p w14:paraId="07A59EA2" w14:textId="77777777" w:rsidR="00CF2954" w:rsidRDefault="00CF2954" w:rsidP="00DC7943">
      <w:pPr>
        <w:pStyle w:val="11SOP"/>
      </w:pPr>
      <w:r>
        <w:t xml:space="preserve">Add 1 mL </w:t>
      </w:r>
      <w:proofErr w:type="spellStart"/>
      <w:r>
        <w:t>H</w:t>
      </w:r>
      <w:r>
        <w:rPr>
          <w:vertAlign w:val="subscript"/>
        </w:rPr>
        <w:t>2</w:t>
      </w:r>
      <w:r>
        <w:t>SO</w:t>
      </w:r>
      <w:r w:rsidRPr="00CF2954">
        <w:rPr>
          <w:vertAlign w:val="subscript"/>
        </w:rPr>
        <w:t>4</w:t>
      </w:r>
      <w:proofErr w:type="spellEnd"/>
      <w:r>
        <w:t xml:space="preserve"> solution.</w:t>
      </w:r>
    </w:p>
    <w:p w14:paraId="77C358FB" w14:textId="77777777" w:rsidR="00CF2954" w:rsidRDefault="00CF2954" w:rsidP="00DC7943">
      <w:pPr>
        <w:pStyle w:val="11SOP"/>
      </w:pPr>
      <w:r>
        <w:t xml:space="preserve">Add either 0.4 g solid ammonium persulfate or 0.5 g solid potassium persulfate.  A scoop </w:t>
      </w:r>
      <w:r w:rsidR="0035720D">
        <w:t>may be used to measure this amount.</w:t>
      </w:r>
    </w:p>
    <w:p w14:paraId="1C3994DD" w14:textId="77777777" w:rsidR="0035720D" w:rsidRDefault="0035720D" w:rsidP="00DC7943">
      <w:pPr>
        <w:pStyle w:val="11SOP"/>
      </w:pPr>
      <w:r>
        <w:t>Hot plate method:</w:t>
      </w:r>
    </w:p>
    <w:p w14:paraId="6810A98A" w14:textId="77777777" w:rsidR="00DC7943" w:rsidRDefault="0035720D" w:rsidP="007B216E">
      <w:pPr>
        <w:pStyle w:val="111SOP"/>
        <w:ind w:hanging="990"/>
      </w:pPr>
      <w:r>
        <w:t>Boil gently on a preheated hot plate for 30 – 40 minutes or until about 10 mL is left in the flask.</w:t>
      </w:r>
      <w:r w:rsidR="00843797">
        <w:t xml:space="preserve">  </w:t>
      </w:r>
      <w:r w:rsidR="00843797" w:rsidRPr="00843797">
        <w:rPr>
          <w:b/>
        </w:rPr>
        <w:t>Do not let go to dryness.</w:t>
      </w:r>
    </w:p>
    <w:p w14:paraId="6245095E" w14:textId="77777777" w:rsidR="0035720D" w:rsidRDefault="0035720D" w:rsidP="007B216E">
      <w:pPr>
        <w:pStyle w:val="111SOP"/>
        <w:ind w:hanging="990"/>
      </w:pPr>
      <w:r>
        <w:t>Cool</w:t>
      </w:r>
      <w:r w:rsidR="00E32198">
        <w:t xml:space="preserve"> to room temperature</w:t>
      </w:r>
      <w:r>
        <w:t xml:space="preserve">, </w:t>
      </w:r>
      <w:r w:rsidR="00E32198">
        <w:t xml:space="preserve">and </w:t>
      </w:r>
      <w:r w:rsidR="00D1524E">
        <w:t>dilute to 3</w:t>
      </w:r>
      <w:r>
        <w:t>0 mL with distilled water.</w:t>
      </w:r>
    </w:p>
    <w:p w14:paraId="0D854D1E" w14:textId="77777777" w:rsidR="0035720D" w:rsidRDefault="0035720D" w:rsidP="007B216E">
      <w:pPr>
        <w:pStyle w:val="111SOP"/>
        <w:ind w:hanging="990"/>
      </w:pPr>
      <w:r>
        <w:t>Add 1 drop phenolphthalein indicator solution, and neutralize to a faint pink color with NaOH.</w:t>
      </w:r>
    </w:p>
    <w:p w14:paraId="4DEC35F0" w14:textId="77777777" w:rsidR="00D1524E" w:rsidRDefault="00843797" w:rsidP="007B216E">
      <w:pPr>
        <w:pStyle w:val="111SOP"/>
        <w:ind w:hanging="990"/>
      </w:pPr>
      <w:r>
        <w:t>In a volumetric flask, b</w:t>
      </w:r>
      <w:r w:rsidR="00D1524E">
        <w:t>ring up to a final volume of 50 mL with distilled water.</w:t>
      </w:r>
    </w:p>
    <w:p w14:paraId="79DE214F" w14:textId="77777777" w:rsidR="0035720D" w:rsidRDefault="0035720D" w:rsidP="00CF2954">
      <w:pPr>
        <w:pStyle w:val="11SOP"/>
      </w:pPr>
      <w:r>
        <w:t>Autoclave method:</w:t>
      </w:r>
    </w:p>
    <w:p w14:paraId="59B0CDD5" w14:textId="77777777" w:rsidR="00CF2954" w:rsidRDefault="0035720D" w:rsidP="007B216E">
      <w:pPr>
        <w:pStyle w:val="111SOP"/>
        <w:ind w:hanging="990"/>
      </w:pPr>
      <w:r>
        <w:t xml:space="preserve">Alternatively, heat for 30 minutes in an autoclave at 98 to </w:t>
      </w:r>
      <w:r w:rsidRPr="0035720D">
        <w:t>137 kPa</w:t>
      </w:r>
      <w:r w:rsidR="00CF2954" w:rsidRPr="0035720D">
        <w:t xml:space="preserve">.  Refer to the User Manual for instructions on </w:t>
      </w:r>
      <w:r w:rsidRPr="0035720D">
        <w:t>the autoclave use</w:t>
      </w:r>
      <w:r w:rsidR="00CF2954" w:rsidRPr="0035720D">
        <w:t>.</w:t>
      </w:r>
    </w:p>
    <w:p w14:paraId="6ED54136" w14:textId="77777777" w:rsidR="0035720D" w:rsidRDefault="0035720D" w:rsidP="007B216E">
      <w:pPr>
        <w:pStyle w:val="111SOP"/>
        <w:ind w:hanging="990"/>
      </w:pPr>
      <w:r>
        <w:t xml:space="preserve">Verify the pressure of the autoclave </w:t>
      </w:r>
      <w:r w:rsidR="00E32198">
        <w:t>reached 98 – 127 kPa, and r</w:t>
      </w:r>
      <w:r>
        <w:t xml:space="preserve">ecord </w:t>
      </w:r>
      <w:r w:rsidR="00E32198">
        <w:t>on the bench sheet</w:t>
      </w:r>
      <w:r>
        <w:t>.</w:t>
      </w:r>
    </w:p>
    <w:p w14:paraId="0633B6D9" w14:textId="77777777" w:rsidR="0035720D" w:rsidRDefault="0035720D" w:rsidP="007B216E">
      <w:pPr>
        <w:pStyle w:val="111SOP"/>
        <w:ind w:hanging="990"/>
      </w:pPr>
      <w:r>
        <w:t>Cool</w:t>
      </w:r>
      <w:r w:rsidR="00E32198">
        <w:t xml:space="preserve"> to room temperature</w:t>
      </w:r>
      <w:r>
        <w:t>, add 1 drop phenolphthalein indicator solution, and neutralize to a faint pink color with NaOH.</w:t>
      </w:r>
    </w:p>
    <w:p w14:paraId="08FA4A9F" w14:textId="77777777" w:rsidR="0035720D" w:rsidRPr="0035720D" w:rsidRDefault="00843797" w:rsidP="007B216E">
      <w:pPr>
        <w:pStyle w:val="111SOP"/>
        <w:ind w:hanging="990"/>
      </w:pPr>
      <w:r>
        <w:t>In a volumetric flask, bring up to a final volume of</w:t>
      </w:r>
      <w:r w:rsidR="0035720D">
        <w:t xml:space="preserve"> 100 mL with distilled water.</w:t>
      </w:r>
    </w:p>
    <w:p w14:paraId="050D7A8D" w14:textId="77777777" w:rsidR="002D5F99" w:rsidRDefault="00843797" w:rsidP="00DC7943">
      <w:pPr>
        <w:pStyle w:val="11SOP"/>
      </w:pPr>
      <w:r>
        <w:t>Using a graduated cylinder,</w:t>
      </w:r>
      <w:r w:rsidR="002D5F99">
        <w:t xml:space="preserve"> pipet,</w:t>
      </w:r>
      <w:r>
        <w:t xml:space="preserve"> or volumetric flask,</w:t>
      </w:r>
      <w:r w:rsidR="002D5F99">
        <w:t xml:space="preserve"> add 50.0 mL of </w:t>
      </w:r>
      <w:r w:rsidR="00D1524E">
        <w:t xml:space="preserve">the digested </w:t>
      </w:r>
      <w:r w:rsidR="002D5F99">
        <w:t>sample into a clean, dry Erlenmeyer flask.</w:t>
      </w:r>
    </w:p>
    <w:p w14:paraId="71231CF4" w14:textId="77777777" w:rsidR="002D5F99" w:rsidRDefault="002D5F99" w:rsidP="00DC7943">
      <w:pPr>
        <w:pStyle w:val="11SOP"/>
      </w:pPr>
      <w:r>
        <w:lastRenderedPageBreak/>
        <w:t xml:space="preserve">Add 1 drop phenolphthalein indicator.  If a red color develops, add 5 N </w:t>
      </w:r>
      <w:proofErr w:type="spellStart"/>
      <w:r>
        <w:t>H</w:t>
      </w:r>
      <w:r w:rsidRPr="002D5F99">
        <w:rPr>
          <w:vertAlign w:val="subscript"/>
        </w:rPr>
        <w:t>2</w:t>
      </w:r>
      <w:r>
        <w:t>SO</w:t>
      </w:r>
      <w:r w:rsidRPr="002D5F99">
        <w:rPr>
          <w:vertAlign w:val="subscript"/>
        </w:rPr>
        <w:t>4</w:t>
      </w:r>
      <w:proofErr w:type="spellEnd"/>
      <w:r>
        <w:t xml:space="preserve"> solution dropwise to just discharge the color.</w:t>
      </w:r>
    </w:p>
    <w:p w14:paraId="6B1AC382" w14:textId="77777777" w:rsidR="002D5F99" w:rsidRDefault="002D5F99" w:rsidP="00DC7943">
      <w:pPr>
        <w:pStyle w:val="11SOP"/>
      </w:pPr>
      <w:r>
        <w:t>Turn on the spectrophotometer, and press the program # (make sure the wavelength is set to 880 nm).</w:t>
      </w:r>
    </w:p>
    <w:p w14:paraId="7CCB50A1" w14:textId="77777777" w:rsidR="002D5F99" w:rsidRDefault="002D5F99" w:rsidP="00DC7943">
      <w:pPr>
        <w:pStyle w:val="11SOP"/>
      </w:pPr>
      <w:r>
        <w:t xml:space="preserve">Zero the spectrophotometer with a method blank sample </w:t>
      </w:r>
      <w:r w:rsidR="00C011F1">
        <w:rPr>
          <w:b/>
        </w:rPr>
        <w:t>without the combined reagent</w:t>
      </w:r>
      <w:r>
        <w:t xml:space="preserve"> (this is the instrument blank)</w:t>
      </w:r>
      <w:r w:rsidR="00C011F1">
        <w:t>.  Insert the cuvette</w:t>
      </w:r>
      <w:r>
        <w:t>, close the cover, and press “ZERO” to zero the meter.</w:t>
      </w:r>
    </w:p>
    <w:p w14:paraId="1EE11AD0" w14:textId="77777777" w:rsidR="002D5F99" w:rsidRDefault="002D5F99" w:rsidP="00DC7943">
      <w:pPr>
        <w:pStyle w:val="11SOP"/>
      </w:pPr>
      <w:r>
        <w:t xml:space="preserve">Add 8.0 mL combined reagent </w:t>
      </w:r>
      <w:r w:rsidR="00C011F1">
        <w:t xml:space="preserve">to each sample and QC sample </w:t>
      </w:r>
      <w:r>
        <w:t>and mix thoroughly.</w:t>
      </w:r>
    </w:p>
    <w:p w14:paraId="3CCE6DD0" w14:textId="77777777" w:rsidR="002D5F99" w:rsidRDefault="002D5F99" w:rsidP="00DC7943">
      <w:pPr>
        <w:pStyle w:val="11SOP"/>
      </w:pPr>
      <w:r>
        <w:t>After at least 10 minutes but no more than 30 minutes, measur</w:t>
      </w:r>
      <w:r w:rsidR="00C011F1">
        <w:t>e the absorbance of each sample, and record the absorbance on the bench sheet.</w:t>
      </w:r>
    </w:p>
    <w:p w14:paraId="56578CA4" w14:textId="77777777" w:rsidR="00C011F1" w:rsidRDefault="00C011F1" w:rsidP="00DC7943">
      <w:pPr>
        <w:pStyle w:val="11SOP"/>
      </w:pPr>
      <w:r>
        <w:t xml:space="preserve">If samples have color or turbidity, prepare a </w:t>
      </w:r>
      <w:r w:rsidR="007520BA">
        <w:t xml:space="preserve">sample </w:t>
      </w:r>
      <w:r>
        <w:t>blank by adding all reagents except ascorbic acid and antimony potassium tartrate to the sample.  Insert the cuvette, and zero the spectrophotometer (</w:t>
      </w:r>
      <w:proofErr w:type="gramStart"/>
      <w:r>
        <w:t>similar to</w:t>
      </w:r>
      <w:proofErr w:type="gramEnd"/>
      <w:r>
        <w:t xml:space="preserve"> zeroing with the instrument blank but with a portion of unreacted sample).</w:t>
      </w:r>
    </w:p>
    <w:p w14:paraId="77BB65BD" w14:textId="77777777" w:rsidR="00FA67A0" w:rsidRDefault="00FA67A0" w:rsidP="00FA67A0">
      <w:pPr>
        <w:pStyle w:val="11SOP"/>
      </w:pPr>
      <w:r>
        <w:t>If any sample has an absorbance reading higher than the highest standard in the calibration curve, the sample must be diluted and reanalyzed.</w:t>
      </w:r>
    </w:p>
    <w:p w14:paraId="6B3AEEA8" w14:textId="77777777" w:rsidR="000B6B13" w:rsidRDefault="00F609CE" w:rsidP="000B6B13">
      <w:pPr>
        <w:pStyle w:val="10SOP"/>
      </w:pPr>
      <w:r>
        <w:t>Calculations</w:t>
      </w:r>
    </w:p>
    <w:p w14:paraId="4EE28B8E" w14:textId="77777777" w:rsidR="00385B07" w:rsidRDefault="00FA333F" w:rsidP="000B6B13">
      <w:pPr>
        <w:pStyle w:val="11SOP"/>
      </w:pPr>
      <w:r>
        <w:t>Results are calculated from</w:t>
      </w:r>
      <w:r w:rsidR="00EA3EF6">
        <w:t xml:space="preserve"> the linear calibration curve (</w:t>
      </w:r>
      <w:r>
        <w:t>y = mx + b)</w:t>
      </w:r>
      <w:r w:rsidR="007C550C">
        <w:t xml:space="preserve"> generated by the lab</w:t>
      </w:r>
      <w:r>
        <w:t>.  Include any applicable dilution factors.</w:t>
      </w:r>
      <w:r w:rsidR="00EA3EF6">
        <w:t xml:space="preserve">  The </w:t>
      </w:r>
      <w:proofErr w:type="spellStart"/>
      <w:r w:rsidR="00EA3EF6">
        <w:t>WDNR</w:t>
      </w:r>
      <w:proofErr w:type="spellEnd"/>
      <w:r w:rsidR="00EA3EF6">
        <w:t xml:space="preserve"> supplied spreadsheet may be used to do all calculations.</w:t>
      </w:r>
    </w:p>
    <w:p w14:paraId="6410AF69" w14:textId="77777777" w:rsidR="000B6B13" w:rsidRDefault="00670193" w:rsidP="000B6B13">
      <w:pPr>
        <w:pStyle w:val="11SOP"/>
      </w:pPr>
      <w:r>
        <w:t xml:space="preserve">Report results as mg/L P.  </w:t>
      </w:r>
    </w:p>
    <w:p w14:paraId="6F262D67" w14:textId="77777777" w:rsidR="00C44E3F" w:rsidRDefault="00C44E3F" w:rsidP="00C44E3F">
      <w:pPr>
        <w:pStyle w:val="10SOP"/>
      </w:pPr>
      <w:r>
        <w:t>Method Detection Limits and Reporting</w:t>
      </w:r>
    </w:p>
    <w:p w14:paraId="26A8B597" w14:textId="77777777" w:rsidR="00147364" w:rsidRPr="00364816" w:rsidRDefault="008C4990" w:rsidP="00C44E3F">
      <w:pPr>
        <w:pStyle w:val="11SOP"/>
        <w:rPr>
          <w:rFonts w:cs="Arial"/>
          <w:szCs w:val="22"/>
        </w:rPr>
      </w:pPr>
      <w:r>
        <w:rPr>
          <w:rFonts w:cs="Arial"/>
          <w:szCs w:val="22"/>
        </w:rPr>
        <w:t xml:space="preserve">This </w:t>
      </w:r>
      <w:r w:rsidRPr="008C4990">
        <w:rPr>
          <w:rFonts w:cs="Arial"/>
          <w:szCs w:val="22"/>
        </w:rPr>
        <w:t xml:space="preserve">method </w:t>
      </w:r>
      <w:r w:rsidR="00147364" w:rsidRPr="008C4990">
        <w:rPr>
          <w:rFonts w:cs="Arial"/>
          <w:szCs w:val="22"/>
        </w:rPr>
        <w:t>has an applicable</w:t>
      </w:r>
      <w:r w:rsidR="004E7B33">
        <w:rPr>
          <w:rFonts w:cs="Arial"/>
          <w:szCs w:val="22"/>
        </w:rPr>
        <w:t xml:space="preserve"> range from the MDL</w:t>
      </w:r>
      <w:r w:rsidR="00311915">
        <w:rPr>
          <w:rFonts w:cs="Arial"/>
          <w:szCs w:val="22"/>
        </w:rPr>
        <w:t xml:space="preserve"> (about 0.0</w:t>
      </w:r>
      <w:r w:rsidR="00C15896">
        <w:rPr>
          <w:rFonts w:cs="Arial"/>
          <w:szCs w:val="22"/>
        </w:rPr>
        <w:t>1</w:t>
      </w:r>
      <w:r w:rsidR="00311915">
        <w:rPr>
          <w:rFonts w:cs="Arial"/>
          <w:szCs w:val="22"/>
        </w:rPr>
        <w:t xml:space="preserve">) to </w:t>
      </w:r>
      <w:r w:rsidR="005248EA">
        <w:rPr>
          <w:rFonts w:cs="Arial"/>
          <w:szCs w:val="22"/>
        </w:rPr>
        <w:t xml:space="preserve">about </w:t>
      </w:r>
      <w:r w:rsidR="00C15896">
        <w:rPr>
          <w:rFonts w:cs="Arial"/>
          <w:szCs w:val="22"/>
        </w:rPr>
        <w:t>6</w:t>
      </w:r>
      <w:r w:rsidRPr="008C4990">
        <w:rPr>
          <w:rFonts w:cs="Arial"/>
          <w:szCs w:val="22"/>
        </w:rPr>
        <w:t xml:space="preserve"> mg</w:t>
      </w:r>
      <w:r w:rsidR="00147364" w:rsidRPr="008C4990">
        <w:rPr>
          <w:rFonts w:cs="Arial"/>
          <w:szCs w:val="22"/>
        </w:rPr>
        <w:t>/L</w:t>
      </w:r>
      <w:r w:rsidRPr="008C4990">
        <w:rPr>
          <w:rFonts w:cs="Arial"/>
          <w:szCs w:val="22"/>
        </w:rPr>
        <w:t xml:space="preserve"> P</w:t>
      </w:r>
      <w:r w:rsidR="00147364" w:rsidRPr="008C4990">
        <w:rPr>
          <w:rFonts w:cs="Arial"/>
          <w:szCs w:val="22"/>
        </w:rPr>
        <w:t>.</w:t>
      </w:r>
      <w:r w:rsidR="00843797">
        <w:rPr>
          <w:rFonts w:cs="Arial"/>
          <w:szCs w:val="22"/>
        </w:rPr>
        <w:t xml:space="preserve"> </w:t>
      </w:r>
      <w:r w:rsidR="00C73C4F">
        <w:rPr>
          <w:rFonts w:cs="Arial"/>
          <w:szCs w:val="22"/>
        </w:rPr>
        <w:t xml:space="preserve"> </w:t>
      </w:r>
      <w:r w:rsidR="00843797">
        <w:rPr>
          <w:rFonts w:cs="Arial"/>
          <w:szCs w:val="22"/>
        </w:rPr>
        <w:t xml:space="preserve">All samples with absorbances above </w:t>
      </w:r>
      <w:r w:rsidR="003826B6">
        <w:rPr>
          <w:rFonts w:cs="Arial"/>
          <w:szCs w:val="22"/>
        </w:rPr>
        <w:t xml:space="preserve">the absorbance of </w:t>
      </w:r>
      <w:r w:rsidR="00843797">
        <w:rPr>
          <w:rFonts w:cs="Arial"/>
          <w:szCs w:val="22"/>
        </w:rPr>
        <w:t>the highest calibration standard must be diluted.</w:t>
      </w:r>
      <w:r w:rsidR="00147364" w:rsidRPr="00364816">
        <w:rPr>
          <w:rFonts w:cs="Arial"/>
          <w:szCs w:val="22"/>
        </w:rPr>
        <w:t xml:space="preserve"> </w:t>
      </w:r>
      <w:r w:rsidR="00364816">
        <w:rPr>
          <w:rFonts w:cs="Arial"/>
          <w:szCs w:val="22"/>
        </w:rPr>
        <w:t xml:space="preserve"> T</w:t>
      </w:r>
      <w:r w:rsidR="00364816" w:rsidRPr="00364816">
        <w:rPr>
          <w:rFonts w:cs="Arial"/>
          <w:szCs w:val="22"/>
        </w:rPr>
        <w:t>he lowest value that can be re</w:t>
      </w:r>
      <w:r w:rsidR="00DD4F93">
        <w:rPr>
          <w:rFonts w:cs="Arial"/>
          <w:szCs w:val="22"/>
        </w:rPr>
        <w:t>ported is no lower than the</w:t>
      </w:r>
      <w:r w:rsidR="004E7B33">
        <w:rPr>
          <w:rFonts w:cs="Arial"/>
          <w:szCs w:val="22"/>
        </w:rPr>
        <w:t xml:space="preserve"> MDL</w:t>
      </w:r>
      <w:r w:rsidR="00364816">
        <w:rPr>
          <w:rFonts w:cs="Arial"/>
          <w:szCs w:val="22"/>
        </w:rPr>
        <w:t>:  report</w:t>
      </w:r>
      <w:r w:rsidR="00364816" w:rsidRPr="00364816">
        <w:rPr>
          <w:rFonts w:cs="Arial"/>
          <w:szCs w:val="22"/>
        </w:rPr>
        <w:t xml:space="preserve"> as less than (&lt;) the </w:t>
      </w:r>
      <w:r w:rsidR="004E7B33">
        <w:rPr>
          <w:rFonts w:cs="Arial"/>
          <w:szCs w:val="22"/>
        </w:rPr>
        <w:t>MDL</w:t>
      </w:r>
      <w:r w:rsidR="00364816" w:rsidRPr="00364816">
        <w:rPr>
          <w:rFonts w:cs="Arial"/>
          <w:szCs w:val="22"/>
        </w:rPr>
        <w:t xml:space="preserve"> value.</w:t>
      </w:r>
    </w:p>
    <w:p w14:paraId="314B2E5C" w14:textId="77777777" w:rsidR="00C44E3F" w:rsidRDefault="00147364" w:rsidP="00C44E3F">
      <w:pPr>
        <w:pStyle w:val="11SOP"/>
      </w:pPr>
      <w:r>
        <w:t>T</w:t>
      </w:r>
      <w:r w:rsidR="0049290E">
        <w:t>he</w:t>
      </w:r>
      <w:r w:rsidR="006F4477">
        <w:t xml:space="preserve"> MDL must be less than the permit limit</w:t>
      </w:r>
      <w:r w:rsidR="0094586F">
        <w:t xml:space="preserve">. </w:t>
      </w:r>
    </w:p>
    <w:p w14:paraId="2C3E445C" w14:textId="77777777" w:rsidR="00EA3EF6" w:rsidRDefault="00EA3EF6" w:rsidP="00C44E3F">
      <w:pPr>
        <w:pStyle w:val="11SOP"/>
      </w:pPr>
      <w:r>
        <w:t>The MDL is calculated annually by following the EPA 40 CFR Part 136 Appendix B protocol.</w:t>
      </w:r>
    </w:p>
    <w:p w14:paraId="6BD13517" w14:textId="77777777" w:rsidR="00EA3EF6" w:rsidRDefault="00EA3EF6" w:rsidP="00637332">
      <w:pPr>
        <w:pStyle w:val="111SOP"/>
        <w:ind w:hanging="990"/>
      </w:pPr>
      <w:r>
        <w:t xml:space="preserve">All method blanks associated with reported results are entered into the </w:t>
      </w:r>
      <w:proofErr w:type="spellStart"/>
      <w:r>
        <w:t>WDNR</w:t>
      </w:r>
      <w:proofErr w:type="spellEnd"/>
      <w:r>
        <w:t xml:space="preserve"> supplied spreadsheet.</w:t>
      </w:r>
    </w:p>
    <w:p w14:paraId="53EEB1FC" w14:textId="77777777" w:rsidR="00EA3EF6" w:rsidRDefault="00EA3EF6" w:rsidP="00637332">
      <w:pPr>
        <w:pStyle w:val="111SOP"/>
        <w:ind w:hanging="990"/>
      </w:pPr>
      <w:r>
        <w:t xml:space="preserve">Two spiked blanks are analyzed each quarter and </w:t>
      </w:r>
      <w:proofErr w:type="gramStart"/>
      <w:r>
        <w:t>entered into</w:t>
      </w:r>
      <w:proofErr w:type="gramEnd"/>
      <w:r>
        <w:t xml:space="preserve"> the </w:t>
      </w:r>
      <w:proofErr w:type="spellStart"/>
      <w:r>
        <w:t>WDNR</w:t>
      </w:r>
      <w:proofErr w:type="spellEnd"/>
      <w:r>
        <w:t xml:space="preserve"> supplied spreadsheet.</w:t>
      </w:r>
    </w:p>
    <w:p w14:paraId="072EE97E" w14:textId="77777777" w:rsidR="00F609CE" w:rsidRDefault="009913D7" w:rsidP="00F609CE">
      <w:pPr>
        <w:pStyle w:val="10SOP"/>
      </w:pPr>
      <w:r>
        <w:t>QC Data Assessment, Acceptance Criteria, and Corrective Actions and Contingencies for Out-of-Control QC Measures</w:t>
      </w:r>
    </w:p>
    <w:p w14:paraId="2DC02B31" w14:textId="77777777" w:rsidR="00653317" w:rsidRDefault="00653317" w:rsidP="00F609CE">
      <w:pPr>
        <w:pStyle w:val="11SOP"/>
      </w:pPr>
      <w:r>
        <w:t>Quality control samples</w:t>
      </w:r>
      <w:r w:rsidR="00293411">
        <w:t xml:space="preserve"> summary</w:t>
      </w:r>
      <w:r>
        <w:t>:</w:t>
      </w:r>
    </w:p>
    <w:tbl>
      <w:tblPr>
        <w:tblStyle w:val="TableGrid"/>
        <w:tblW w:w="0" w:type="auto"/>
        <w:tblInd w:w="1525" w:type="dxa"/>
        <w:tblLook w:val="04A0" w:firstRow="1" w:lastRow="0" w:firstColumn="1" w:lastColumn="0" w:noHBand="0" w:noVBand="1"/>
      </w:tblPr>
      <w:tblGrid>
        <w:gridCol w:w="2400"/>
        <w:gridCol w:w="2378"/>
      </w:tblGrid>
      <w:tr w:rsidR="003A3F28" w14:paraId="54456618" w14:textId="77777777" w:rsidTr="00FA333F">
        <w:tc>
          <w:tcPr>
            <w:tcW w:w="2400" w:type="dxa"/>
            <w:shd w:val="clear" w:color="auto" w:fill="BFBFBF" w:themeFill="background1" w:themeFillShade="BF"/>
            <w:vAlign w:val="center"/>
          </w:tcPr>
          <w:p w14:paraId="4045B4EB" w14:textId="77777777" w:rsidR="003A3F28" w:rsidRDefault="003A3F28" w:rsidP="00C02E85">
            <w:pPr>
              <w:pStyle w:val="BodyTextIndent"/>
              <w:ind w:left="0"/>
              <w:jc w:val="center"/>
              <w:rPr>
                <w:szCs w:val="22"/>
              </w:rPr>
            </w:pPr>
            <w:r>
              <w:rPr>
                <w:szCs w:val="22"/>
              </w:rPr>
              <w:lastRenderedPageBreak/>
              <w:t>QC Test</w:t>
            </w:r>
          </w:p>
        </w:tc>
        <w:tc>
          <w:tcPr>
            <w:tcW w:w="2378" w:type="dxa"/>
            <w:shd w:val="clear" w:color="auto" w:fill="BFBFBF" w:themeFill="background1" w:themeFillShade="BF"/>
            <w:vAlign w:val="center"/>
          </w:tcPr>
          <w:p w14:paraId="4D3A651A" w14:textId="77777777" w:rsidR="003A3F28" w:rsidRDefault="003A3F28" w:rsidP="00C02E85">
            <w:pPr>
              <w:pStyle w:val="BodyTextIndent"/>
              <w:ind w:left="0"/>
              <w:jc w:val="center"/>
              <w:rPr>
                <w:szCs w:val="22"/>
              </w:rPr>
            </w:pPr>
            <w:r>
              <w:rPr>
                <w:szCs w:val="22"/>
              </w:rPr>
              <w:t>Criteria</w:t>
            </w:r>
          </w:p>
        </w:tc>
      </w:tr>
      <w:tr w:rsidR="003A3F28" w14:paraId="72E1D972" w14:textId="77777777" w:rsidTr="00FA333F">
        <w:tc>
          <w:tcPr>
            <w:tcW w:w="2400" w:type="dxa"/>
            <w:vAlign w:val="center"/>
          </w:tcPr>
          <w:p w14:paraId="056A83C9" w14:textId="77777777" w:rsidR="003A3F28" w:rsidRDefault="003A3F28" w:rsidP="00C02E85">
            <w:pPr>
              <w:pStyle w:val="BodyTextIndent"/>
              <w:ind w:left="0"/>
              <w:jc w:val="center"/>
              <w:rPr>
                <w:szCs w:val="22"/>
              </w:rPr>
            </w:pPr>
            <w:r>
              <w:rPr>
                <w:szCs w:val="22"/>
              </w:rPr>
              <w:t>Calibration curve</w:t>
            </w:r>
          </w:p>
        </w:tc>
        <w:tc>
          <w:tcPr>
            <w:tcW w:w="2378" w:type="dxa"/>
            <w:vAlign w:val="center"/>
          </w:tcPr>
          <w:p w14:paraId="624E5A0F" w14:textId="77777777" w:rsidR="003A3F28" w:rsidRDefault="003A3F28" w:rsidP="00C02E85">
            <w:pPr>
              <w:pStyle w:val="BodyTextIndent"/>
              <w:ind w:left="0"/>
              <w:jc w:val="center"/>
              <w:rPr>
                <w:szCs w:val="22"/>
              </w:rPr>
            </w:pPr>
            <w:proofErr w:type="spellStart"/>
            <w:r>
              <w:rPr>
                <w:szCs w:val="22"/>
              </w:rPr>
              <w:t>r</w:t>
            </w:r>
            <w:r>
              <w:rPr>
                <w:rFonts w:cs="Arial"/>
                <w:szCs w:val="22"/>
              </w:rPr>
              <w:t>≥</w:t>
            </w:r>
            <w:r>
              <w:rPr>
                <w:szCs w:val="22"/>
              </w:rPr>
              <w:t>0.995</w:t>
            </w:r>
            <w:proofErr w:type="spellEnd"/>
          </w:p>
        </w:tc>
      </w:tr>
      <w:tr w:rsidR="003A3F28" w14:paraId="70C01A3C" w14:textId="77777777" w:rsidTr="00FA333F">
        <w:tc>
          <w:tcPr>
            <w:tcW w:w="2400" w:type="dxa"/>
            <w:vAlign w:val="center"/>
          </w:tcPr>
          <w:p w14:paraId="5D5FEF1C" w14:textId="77777777" w:rsidR="003A3F28" w:rsidRDefault="003A3F28" w:rsidP="00C02E85">
            <w:pPr>
              <w:pStyle w:val="BodyTextIndent"/>
              <w:ind w:left="0"/>
              <w:jc w:val="center"/>
              <w:rPr>
                <w:szCs w:val="22"/>
              </w:rPr>
            </w:pPr>
            <w:proofErr w:type="spellStart"/>
            <w:r>
              <w:rPr>
                <w:szCs w:val="22"/>
              </w:rPr>
              <w:t>ICV</w:t>
            </w:r>
            <w:proofErr w:type="spellEnd"/>
          </w:p>
        </w:tc>
        <w:tc>
          <w:tcPr>
            <w:tcW w:w="2378" w:type="dxa"/>
            <w:vAlign w:val="center"/>
          </w:tcPr>
          <w:p w14:paraId="4464F963" w14:textId="77777777" w:rsidR="003A3F28" w:rsidRDefault="003A3F28" w:rsidP="00C02E85">
            <w:pPr>
              <w:pStyle w:val="BodyTextIndent"/>
              <w:ind w:left="0"/>
              <w:jc w:val="center"/>
              <w:rPr>
                <w:szCs w:val="22"/>
              </w:rPr>
            </w:pPr>
            <w:r>
              <w:rPr>
                <w:szCs w:val="22"/>
              </w:rPr>
              <w:t>90 – 110% true value</w:t>
            </w:r>
          </w:p>
        </w:tc>
      </w:tr>
      <w:tr w:rsidR="003A3F28" w14:paraId="4FB701F4" w14:textId="77777777" w:rsidTr="00FA333F">
        <w:tc>
          <w:tcPr>
            <w:tcW w:w="2400" w:type="dxa"/>
            <w:vAlign w:val="center"/>
          </w:tcPr>
          <w:p w14:paraId="14BB76BF" w14:textId="77777777" w:rsidR="003A3F28" w:rsidRDefault="003A3F28" w:rsidP="00C02E85">
            <w:pPr>
              <w:pStyle w:val="BodyTextIndent"/>
              <w:ind w:left="0"/>
              <w:jc w:val="center"/>
              <w:rPr>
                <w:szCs w:val="22"/>
              </w:rPr>
            </w:pPr>
            <w:r>
              <w:rPr>
                <w:szCs w:val="22"/>
              </w:rPr>
              <w:t>Method Blank</w:t>
            </w:r>
          </w:p>
        </w:tc>
        <w:tc>
          <w:tcPr>
            <w:tcW w:w="2378" w:type="dxa"/>
            <w:vAlign w:val="center"/>
          </w:tcPr>
          <w:p w14:paraId="76C7361B" w14:textId="77777777" w:rsidR="003A3F28" w:rsidRDefault="003A3F28" w:rsidP="00C02E85">
            <w:pPr>
              <w:pStyle w:val="BodyTextIndent"/>
              <w:ind w:left="0"/>
              <w:jc w:val="center"/>
              <w:rPr>
                <w:rFonts w:cs="Arial"/>
                <w:szCs w:val="22"/>
              </w:rPr>
            </w:pPr>
            <w:r>
              <w:rPr>
                <w:rFonts w:cs="Arial"/>
                <w:szCs w:val="22"/>
              </w:rPr>
              <w:t>≤ Highest of:</w:t>
            </w:r>
          </w:p>
          <w:p w14:paraId="537396E7" w14:textId="77777777" w:rsidR="003A3F28" w:rsidRDefault="003A3F28" w:rsidP="00C02E85">
            <w:pPr>
              <w:pStyle w:val="BodyTextIndent"/>
              <w:ind w:left="0"/>
              <w:jc w:val="center"/>
              <w:rPr>
                <w:rFonts w:cs="Arial"/>
                <w:szCs w:val="22"/>
              </w:rPr>
            </w:pPr>
            <w:r>
              <w:rPr>
                <w:rFonts w:cs="Arial"/>
                <w:szCs w:val="22"/>
              </w:rPr>
              <w:t xml:space="preserve">LOD, </w:t>
            </w:r>
          </w:p>
          <w:p w14:paraId="147107BE" w14:textId="77777777" w:rsidR="003A3F28" w:rsidRDefault="003A3F28" w:rsidP="00C02E85">
            <w:pPr>
              <w:pStyle w:val="BodyTextIndent"/>
              <w:ind w:left="0"/>
              <w:jc w:val="center"/>
              <w:rPr>
                <w:rFonts w:cs="Arial"/>
                <w:szCs w:val="22"/>
              </w:rPr>
            </w:pPr>
            <w:r>
              <w:rPr>
                <w:rFonts w:cs="Arial"/>
                <w:szCs w:val="22"/>
              </w:rPr>
              <w:t>5% permit limit, or</w:t>
            </w:r>
          </w:p>
          <w:p w14:paraId="4F42C61C" w14:textId="77777777" w:rsidR="003A3F28" w:rsidRDefault="003A3F28" w:rsidP="00C02E85">
            <w:pPr>
              <w:pStyle w:val="BodyTextIndent"/>
              <w:ind w:left="0"/>
              <w:jc w:val="center"/>
              <w:rPr>
                <w:szCs w:val="22"/>
              </w:rPr>
            </w:pPr>
            <w:r>
              <w:rPr>
                <w:rFonts w:cs="Arial"/>
                <w:szCs w:val="22"/>
              </w:rPr>
              <w:t xml:space="preserve">10% sample </w:t>
            </w:r>
            <w:proofErr w:type="spellStart"/>
            <w:r>
              <w:rPr>
                <w:rFonts w:cs="Arial"/>
                <w:szCs w:val="22"/>
              </w:rPr>
              <w:t>conc’n</w:t>
            </w:r>
            <w:proofErr w:type="spellEnd"/>
          </w:p>
        </w:tc>
      </w:tr>
      <w:tr w:rsidR="003A3F28" w14:paraId="6A24AB26" w14:textId="77777777" w:rsidTr="00FA333F">
        <w:tc>
          <w:tcPr>
            <w:tcW w:w="2400" w:type="dxa"/>
            <w:vAlign w:val="center"/>
          </w:tcPr>
          <w:p w14:paraId="3AD2C90E" w14:textId="77777777" w:rsidR="003A3F28" w:rsidRDefault="003A3F28" w:rsidP="00C02E85">
            <w:pPr>
              <w:pStyle w:val="BodyTextIndent"/>
              <w:ind w:left="0"/>
              <w:jc w:val="center"/>
              <w:rPr>
                <w:szCs w:val="22"/>
              </w:rPr>
            </w:pPr>
            <w:r>
              <w:rPr>
                <w:szCs w:val="22"/>
              </w:rPr>
              <w:t>CCV/LCS</w:t>
            </w:r>
          </w:p>
        </w:tc>
        <w:tc>
          <w:tcPr>
            <w:tcW w:w="2378" w:type="dxa"/>
            <w:vAlign w:val="center"/>
          </w:tcPr>
          <w:p w14:paraId="4377E8A4" w14:textId="77777777" w:rsidR="003A3F28" w:rsidRDefault="003A3F28" w:rsidP="00C02E85">
            <w:pPr>
              <w:pStyle w:val="BodyTextIndent"/>
              <w:ind w:left="0"/>
              <w:jc w:val="center"/>
              <w:rPr>
                <w:szCs w:val="22"/>
              </w:rPr>
            </w:pPr>
            <w:r>
              <w:rPr>
                <w:szCs w:val="22"/>
              </w:rPr>
              <w:t>90 – 110% true value</w:t>
            </w:r>
          </w:p>
        </w:tc>
      </w:tr>
    </w:tbl>
    <w:p w14:paraId="1BC6CD43" w14:textId="77777777" w:rsidR="00653317" w:rsidRDefault="00653317" w:rsidP="00653317">
      <w:pPr>
        <w:pStyle w:val="11SOP"/>
        <w:numPr>
          <w:ilvl w:val="0"/>
          <w:numId w:val="0"/>
        </w:numPr>
        <w:ind w:left="1440"/>
      </w:pPr>
    </w:p>
    <w:p w14:paraId="34BD51DE" w14:textId="77777777" w:rsidR="00CE16C6" w:rsidRDefault="00CE16C6" w:rsidP="00264EF7">
      <w:pPr>
        <w:pStyle w:val="11SOP"/>
      </w:pPr>
      <w:r>
        <w:t xml:space="preserve">If the calibration curve does not have an r value </w:t>
      </w:r>
      <w:r>
        <w:rPr>
          <w:rFonts w:cs="Arial"/>
        </w:rPr>
        <w:t>≥0.995, recalibrate.  Corrective actions may also include preparing new calibration standards.</w:t>
      </w:r>
    </w:p>
    <w:p w14:paraId="5DFA72E9" w14:textId="77777777" w:rsidR="00264EF7" w:rsidRDefault="00264EF7" w:rsidP="00264EF7">
      <w:pPr>
        <w:pStyle w:val="11SOP"/>
      </w:pPr>
      <w:r>
        <w:t xml:space="preserve">If the </w:t>
      </w:r>
      <w:proofErr w:type="spellStart"/>
      <w:r>
        <w:t>ICV</w:t>
      </w:r>
      <w:proofErr w:type="spellEnd"/>
      <w:r>
        <w:t xml:space="preserve"> is not 90-110% of the true value, re-make the </w:t>
      </w:r>
      <w:proofErr w:type="spellStart"/>
      <w:r>
        <w:t>ICV</w:t>
      </w:r>
      <w:proofErr w:type="spellEnd"/>
      <w:r>
        <w:t xml:space="preserve"> solution and reanalyze.  If the </w:t>
      </w:r>
      <w:proofErr w:type="spellStart"/>
      <w:r>
        <w:t>ICV</w:t>
      </w:r>
      <w:proofErr w:type="spellEnd"/>
      <w:r>
        <w:t xml:space="preserve"> still does not pass, re-calibrate.</w:t>
      </w:r>
    </w:p>
    <w:p w14:paraId="6C173680" w14:textId="77777777" w:rsidR="00264EF7" w:rsidRDefault="00264EF7" w:rsidP="00264EF7">
      <w:pPr>
        <w:pStyle w:val="11SOP"/>
      </w:pPr>
      <w:r>
        <w:t xml:space="preserve">If the method blank is not </w:t>
      </w:r>
      <w:r>
        <w:rPr>
          <w:rFonts w:cs="Arial"/>
        </w:rPr>
        <w:t>≤</w:t>
      </w:r>
      <w:r>
        <w:t>LOD (or 5% of the permit limit or 10% sample concentration), reanalyze.  If it is still out of range, qualify the data.</w:t>
      </w:r>
    </w:p>
    <w:p w14:paraId="5192AEE1" w14:textId="77777777" w:rsidR="00264EF7" w:rsidRDefault="00264EF7" w:rsidP="00264EF7">
      <w:pPr>
        <w:pStyle w:val="11SOP"/>
      </w:pPr>
      <w:r>
        <w:t>If the CCV/LCS is not 90-110% of the true value, take corrective action such as re-make the CCV/LCS solution and reanalyze.  If the CCV still does not pass, re-calibrate.</w:t>
      </w:r>
    </w:p>
    <w:p w14:paraId="034BDA9D" w14:textId="77777777" w:rsidR="009913D7" w:rsidRDefault="009913D7" w:rsidP="00264EF7">
      <w:pPr>
        <w:pStyle w:val="11SOP"/>
      </w:pPr>
      <w:r>
        <w:t>Qualify all sample results with method blank or CCV/LCS exceedances on the bench sheet and the eDMR.</w:t>
      </w:r>
    </w:p>
    <w:p w14:paraId="100E6998" w14:textId="77777777" w:rsidR="009913D7" w:rsidRDefault="009913D7" w:rsidP="007B216E">
      <w:pPr>
        <w:pStyle w:val="111SOP"/>
        <w:ind w:hanging="990"/>
      </w:pPr>
      <w:r>
        <w:t xml:space="preserve">Samples that fail the Quality Control will have to be qualified back to the last date that the quality control met the above conditions.  Include a lab comment on the </w:t>
      </w:r>
      <w:proofErr w:type="spellStart"/>
      <w:r>
        <w:t>DMR</w:t>
      </w:r>
      <w:proofErr w:type="spellEnd"/>
      <w:r>
        <w:t>.</w:t>
      </w:r>
    </w:p>
    <w:p w14:paraId="13F59450" w14:textId="77777777" w:rsidR="00264EF7" w:rsidRDefault="00264EF7" w:rsidP="00264EF7">
      <w:pPr>
        <w:pStyle w:val="11SOP"/>
      </w:pPr>
      <w:r>
        <w:t>The Proficiency Testing (PT) sample must be within the criteria of the provider. If the criteria limits are not met, the technician must immediately order another sample to be analyzed.</w:t>
      </w:r>
    </w:p>
    <w:p w14:paraId="4F476BFF" w14:textId="77777777" w:rsidR="00F609CE" w:rsidRDefault="00E1499E" w:rsidP="00C320B8">
      <w:pPr>
        <w:pStyle w:val="11SOP"/>
      </w:pPr>
      <w:r>
        <w:t>For any of the above items or if there are any other obvious errors or deviations from the standard operating conditions,</w:t>
      </w:r>
      <w:r w:rsidR="00370A84">
        <w:t xml:space="preserve"> comp</w:t>
      </w:r>
      <w:r w:rsidR="00C320B8">
        <w:t>lete the Corrective Actions Log and resolve the problem.</w:t>
      </w:r>
      <w:r w:rsidR="00264EF7">
        <w:t xml:space="preserve">  Notify the Supervisor.</w:t>
      </w:r>
    </w:p>
    <w:p w14:paraId="0206F28D" w14:textId="77777777" w:rsidR="00264EF7" w:rsidRDefault="00264EF7" w:rsidP="00637332">
      <w:pPr>
        <w:pStyle w:val="111SOP"/>
        <w:ind w:hanging="990"/>
      </w:pPr>
      <w:r>
        <w:t>If results are unacceptable, take appropriate corrective action.  This may include acid washing all containers, checking the water source, checking expiration dates, and documenting any changes or adjustments made.</w:t>
      </w:r>
    </w:p>
    <w:p w14:paraId="5F93C7B0" w14:textId="77777777" w:rsidR="009913D7" w:rsidRDefault="009913D7" w:rsidP="009913D7">
      <w:pPr>
        <w:pStyle w:val="111SOP"/>
        <w:ind w:hanging="990"/>
      </w:pPr>
      <w:r>
        <w:t>Complete the Corrective Actions in the log sheets. Enter in all information as completely as possible, even if the short-term reasons for failures are not clear.</w:t>
      </w:r>
    </w:p>
    <w:p w14:paraId="43609B2F" w14:textId="77777777" w:rsidR="00812AC9" w:rsidRDefault="00264EF7" w:rsidP="007B216E">
      <w:pPr>
        <w:pStyle w:val="111SOP"/>
        <w:ind w:hanging="990"/>
      </w:pPr>
      <w:r>
        <w:t>Seek help from an outside source if specific QC issues cannot be resolved.  These sources may be another lab, the Wisconsin Rural Water Association wastewater trainer, or the facility’s lab auditor.</w:t>
      </w:r>
    </w:p>
    <w:p w14:paraId="6C2E284C" w14:textId="77777777" w:rsidR="000B7F23" w:rsidRDefault="000B7F23" w:rsidP="000B7F23">
      <w:pPr>
        <w:pStyle w:val="10SOP"/>
      </w:pPr>
      <w:r>
        <w:lastRenderedPageBreak/>
        <w:t>Pollution Prevention</w:t>
      </w:r>
    </w:p>
    <w:p w14:paraId="41CCDDBA" w14:textId="77777777" w:rsidR="000B7F23" w:rsidRDefault="000B7F23" w:rsidP="000B7F23">
      <w:pPr>
        <w:pStyle w:val="11SOP"/>
      </w:pPr>
      <w:r>
        <w:rPr>
          <w:snapToGrid w:val="0"/>
        </w:rPr>
        <w:t>Consider environmental impact when purchasing materials, handling chemicals, and disposing of wastes.</w:t>
      </w:r>
    </w:p>
    <w:p w14:paraId="6B62F49F" w14:textId="77777777" w:rsidR="000B7F23" w:rsidRDefault="000B7F23" w:rsidP="000B7F23">
      <w:pPr>
        <w:pStyle w:val="11SOP"/>
      </w:pPr>
      <w:r>
        <w:rPr>
          <w:snapToGrid w:val="0"/>
        </w:rPr>
        <w:t>Prevent pollution at the source whenever possible.</w:t>
      </w:r>
    </w:p>
    <w:p w14:paraId="4E4F5F9D" w14:textId="77777777" w:rsidR="00F609CE" w:rsidRDefault="00F609CE" w:rsidP="00F609CE">
      <w:pPr>
        <w:pStyle w:val="10SOP"/>
      </w:pPr>
      <w:r>
        <w:t>Waste Management</w:t>
      </w:r>
    </w:p>
    <w:p w14:paraId="5613DA95" w14:textId="77777777" w:rsidR="00F609CE" w:rsidRDefault="00AE6BC8" w:rsidP="00F609CE">
      <w:pPr>
        <w:pStyle w:val="11SOP"/>
      </w:pPr>
      <w:r>
        <w:t>All laboratory waste, excess reagents, and samples must be disposed of in a manner that is consistent with applicable rules and regulations</w:t>
      </w:r>
      <w:r w:rsidR="00F609CE">
        <w:t>.</w:t>
      </w:r>
    </w:p>
    <w:p w14:paraId="52B56A15" w14:textId="77777777" w:rsidR="00D715D0" w:rsidRPr="00236FF2" w:rsidRDefault="00F609CE" w:rsidP="00D715D0">
      <w:pPr>
        <w:pStyle w:val="10SOP"/>
      </w:pPr>
      <w:r w:rsidRPr="00236FF2">
        <w:t>References</w:t>
      </w:r>
    </w:p>
    <w:p w14:paraId="14B38D4F" w14:textId="77777777" w:rsidR="00B14F7C" w:rsidRPr="00236FF2" w:rsidRDefault="00C320B8" w:rsidP="00B14F7C">
      <w:pPr>
        <w:pStyle w:val="11SOP"/>
      </w:pPr>
      <w:r w:rsidRPr="00236FF2">
        <w:t>Standard Methods for the Examination of W</w:t>
      </w:r>
      <w:r w:rsidR="00715B29" w:rsidRPr="00236FF2">
        <w:t>ater and Wastewater, Method 4500-P, 1999</w:t>
      </w:r>
      <w:r w:rsidRPr="00236FF2">
        <w:t>.</w:t>
      </w:r>
    </w:p>
    <w:p w14:paraId="4740D5D5" w14:textId="77777777" w:rsidR="008D5CF5" w:rsidRPr="00F969CC" w:rsidRDefault="008D5CF5" w:rsidP="008D5CF5">
      <w:pPr>
        <w:pStyle w:val="10SOP"/>
      </w:pPr>
      <w:r w:rsidRPr="00F969CC">
        <w:t xml:space="preserve">Disclaimer: </w:t>
      </w:r>
    </w:p>
    <w:p w14:paraId="1D5826D2" w14:textId="77777777" w:rsidR="008D5CF5" w:rsidRPr="00182C12" w:rsidRDefault="008D5CF5" w:rsidP="008D5CF5">
      <w:pPr>
        <w:pStyle w:val="11SOP"/>
        <w:rPr>
          <w:b/>
        </w:rPr>
      </w:pPr>
      <w:r w:rsidRPr="00182C12">
        <w:t>The mentioning of company or product names does not constitute endorsement by the Wisconsin Department of Natural Resources or the authors.</w:t>
      </w:r>
    </w:p>
    <w:p w14:paraId="59D602FB" w14:textId="77777777" w:rsidR="00653317" w:rsidRDefault="00653317" w:rsidP="00653317">
      <w:pPr>
        <w:pStyle w:val="11SOP"/>
        <w:numPr>
          <w:ilvl w:val="0"/>
          <w:numId w:val="0"/>
        </w:numPr>
      </w:pPr>
    </w:p>
    <w:sectPr w:rsidR="00653317" w:rsidSect="007C550C">
      <w:foot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2D879" w14:textId="77777777" w:rsidR="00651CBB" w:rsidRDefault="00651CBB">
      <w:r>
        <w:separator/>
      </w:r>
    </w:p>
  </w:endnote>
  <w:endnote w:type="continuationSeparator" w:id="0">
    <w:p w14:paraId="4982DEF9" w14:textId="77777777" w:rsidR="00651CBB" w:rsidRDefault="0065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9E01C" w14:textId="77777777" w:rsidR="00C02E85" w:rsidRPr="002A5355" w:rsidRDefault="00C02E85" w:rsidP="002A5355">
    <w:pPr>
      <w:pStyle w:val="Footer"/>
      <w:jc w:val="right"/>
      <w:rPr>
        <w:rFonts w:ascii="Arial" w:hAnsi="Arial" w:cs="Arial"/>
        <w:sz w:val="20"/>
      </w:rPr>
    </w:pPr>
    <w:r w:rsidRPr="002A5355">
      <w:rPr>
        <w:rFonts w:ascii="Arial" w:hAnsi="Arial" w:cs="Arial"/>
        <w:sz w:val="20"/>
      </w:rPr>
      <w:t xml:space="preserve">Page </w:t>
    </w:r>
    <w:r w:rsidRPr="002A5355">
      <w:rPr>
        <w:rFonts w:ascii="Arial" w:hAnsi="Arial" w:cs="Arial"/>
        <w:sz w:val="20"/>
      </w:rPr>
      <w:fldChar w:fldCharType="begin"/>
    </w:r>
    <w:r w:rsidRPr="002A5355">
      <w:rPr>
        <w:rFonts w:ascii="Arial" w:hAnsi="Arial" w:cs="Arial"/>
        <w:sz w:val="20"/>
      </w:rPr>
      <w:instrText xml:space="preserve"> PAGE </w:instrText>
    </w:r>
    <w:r w:rsidRPr="002A5355">
      <w:rPr>
        <w:rFonts w:ascii="Arial" w:hAnsi="Arial" w:cs="Arial"/>
        <w:sz w:val="20"/>
      </w:rPr>
      <w:fldChar w:fldCharType="separate"/>
    </w:r>
    <w:r w:rsidR="002B4D61">
      <w:rPr>
        <w:rFonts w:ascii="Arial" w:hAnsi="Arial" w:cs="Arial"/>
        <w:noProof/>
        <w:sz w:val="20"/>
      </w:rPr>
      <w:t>7</w:t>
    </w:r>
    <w:r w:rsidRPr="002A5355">
      <w:rPr>
        <w:rFonts w:ascii="Arial" w:hAnsi="Arial" w:cs="Arial"/>
        <w:sz w:val="20"/>
      </w:rPr>
      <w:fldChar w:fldCharType="end"/>
    </w:r>
    <w:r w:rsidRPr="002A5355">
      <w:rPr>
        <w:rFonts w:ascii="Arial" w:hAnsi="Arial" w:cs="Arial"/>
        <w:sz w:val="20"/>
      </w:rPr>
      <w:t xml:space="preserve"> of </w:t>
    </w:r>
    <w:r w:rsidR="0047774B" w:rsidRPr="002A5355">
      <w:rPr>
        <w:rFonts w:ascii="Arial" w:hAnsi="Arial" w:cs="Arial"/>
        <w:sz w:val="20"/>
      </w:rPr>
      <w:fldChar w:fldCharType="begin"/>
    </w:r>
    <w:r w:rsidR="0047774B" w:rsidRPr="002A5355">
      <w:rPr>
        <w:rFonts w:ascii="Arial" w:hAnsi="Arial" w:cs="Arial"/>
        <w:sz w:val="20"/>
      </w:rPr>
      <w:instrText xml:space="preserve"> NUMPAGES </w:instrText>
    </w:r>
    <w:r w:rsidR="0047774B" w:rsidRPr="002A5355">
      <w:rPr>
        <w:rFonts w:ascii="Arial" w:hAnsi="Arial" w:cs="Arial"/>
        <w:sz w:val="20"/>
      </w:rPr>
      <w:fldChar w:fldCharType="separate"/>
    </w:r>
    <w:r w:rsidR="002B4D61">
      <w:rPr>
        <w:rFonts w:ascii="Arial" w:hAnsi="Arial" w:cs="Arial"/>
        <w:noProof/>
        <w:sz w:val="20"/>
      </w:rPr>
      <w:t>8</w:t>
    </w:r>
    <w:r w:rsidR="0047774B" w:rsidRPr="002A5355">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60000" w14:textId="77777777" w:rsidR="00651CBB" w:rsidRDefault="00651CBB">
      <w:r>
        <w:separator/>
      </w:r>
    </w:p>
  </w:footnote>
  <w:footnote w:type="continuationSeparator" w:id="0">
    <w:p w14:paraId="1CAAB23C" w14:textId="77777777" w:rsidR="00651CBB" w:rsidRDefault="00651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36CA4"/>
    <w:multiLevelType w:val="hybridMultilevel"/>
    <w:tmpl w:val="58D67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70473"/>
    <w:multiLevelType w:val="multilevel"/>
    <w:tmpl w:val="F56A7882"/>
    <w:lvl w:ilvl="0">
      <w:start w:val="1"/>
      <w:numFmt w:val="decimal"/>
      <w:pStyle w:val="10SOP"/>
      <w:lvlText w:val="%1.0"/>
      <w:lvlJc w:val="left"/>
      <w:pPr>
        <w:tabs>
          <w:tab w:val="num" w:pos="720"/>
        </w:tabs>
        <w:ind w:left="720" w:hanging="720"/>
      </w:pPr>
      <w:rPr>
        <w:rFonts w:ascii="Arial" w:hAnsi="Arial" w:hint="default"/>
        <w:b/>
        <w:i w:val="0"/>
        <w:sz w:val="22"/>
      </w:rPr>
    </w:lvl>
    <w:lvl w:ilvl="1">
      <w:start w:val="1"/>
      <w:numFmt w:val="decimal"/>
      <w:pStyle w:val="11SOP"/>
      <w:lvlText w:val="%1.%2"/>
      <w:lvlJc w:val="left"/>
      <w:pPr>
        <w:tabs>
          <w:tab w:val="num" w:pos="6300"/>
        </w:tabs>
        <w:ind w:left="6300" w:hanging="720"/>
      </w:pPr>
      <w:rPr>
        <w:rFonts w:ascii="Arial" w:hAnsi="Arial" w:hint="default"/>
        <w:b/>
        <w:i w:val="0"/>
        <w:sz w:val="22"/>
      </w:rPr>
    </w:lvl>
    <w:lvl w:ilvl="2">
      <w:start w:val="1"/>
      <w:numFmt w:val="decimal"/>
      <w:pStyle w:val="111SOP"/>
      <w:lvlText w:val="%1.%2.%3."/>
      <w:lvlJc w:val="left"/>
      <w:pPr>
        <w:tabs>
          <w:tab w:val="num" w:pos="2430"/>
        </w:tabs>
        <w:ind w:left="2430" w:hanging="1080"/>
      </w:pPr>
      <w:rPr>
        <w:rFonts w:ascii="Arial" w:hAnsi="Arial" w:hint="default"/>
        <w:b/>
        <w:i w:val="0"/>
        <w:sz w:val="22"/>
      </w:rPr>
    </w:lvl>
    <w:lvl w:ilvl="3">
      <w:start w:val="1"/>
      <w:numFmt w:val="decimal"/>
      <w:pStyle w:val="1111SOP"/>
      <w:lvlText w:val="%1.%2.%3.%4."/>
      <w:lvlJc w:val="left"/>
      <w:pPr>
        <w:tabs>
          <w:tab w:val="num" w:pos="3600"/>
        </w:tabs>
        <w:ind w:left="3600" w:hanging="1080"/>
      </w:pPr>
      <w:rPr>
        <w:rFonts w:ascii="Arial" w:hAnsi="Arial" w:hint="default"/>
        <w:b/>
        <w:i w:val="0"/>
        <w:sz w:val="22"/>
      </w:rPr>
    </w:lvl>
    <w:lvl w:ilvl="4">
      <w:start w:val="1"/>
      <w:numFmt w:val="decimal"/>
      <w:pStyle w:val="11111SOP"/>
      <w:lvlText w:val="%1.%2.%3.%4.%5."/>
      <w:lvlJc w:val="left"/>
      <w:pPr>
        <w:tabs>
          <w:tab w:val="num" w:pos="4680"/>
        </w:tabs>
        <w:ind w:left="4680" w:hanging="1080"/>
      </w:pPr>
      <w:rPr>
        <w:rFonts w:ascii="Arial" w:hAnsi="Arial" w:hint="default"/>
        <w:b/>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CCF3135"/>
    <w:multiLevelType w:val="hybridMultilevel"/>
    <w:tmpl w:val="0BB0B8E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7ACE14C4"/>
    <w:multiLevelType w:val="hybridMultilevel"/>
    <w:tmpl w:val="4B3CBC6A"/>
    <w:lvl w:ilvl="0" w:tplc="9F72721E">
      <w:start w:val="1"/>
      <w:numFmt w:val="decimal"/>
      <w:lvlText w:val="%1."/>
      <w:lvlJc w:val="left"/>
      <w:pPr>
        <w:ind w:left="720" w:hanging="360"/>
      </w:pPr>
      <w:rPr>
        <w:i w:val="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A21D6"/>
    <w:multiLevelType w:val="hybridMultilevel"/>
    <w:tmpl w:val="B1163D3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 w:numId="6">
    <w:abstractNumId w:val="1"/>
  </w:num>
  <w:num w:numId="7">
    <w:abstractNumId w:val="4"/>
  </w:num>
  <w:num w:numId="8">
    <w:abstractNumId w:val="2"/>
  </w:num>
  <w:num w:numId="9">
    <w:abstractNumId w:val="3"/>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CE"/>
    <w:rsid w:val="00010DFD"/>
    <w:rsid w:val="00013B57"/>
    <w:rsid w:val="0002243B"/>
    <w:rsid w:val="000411E9"/>
    <w:rsid w:val="00043E6D"/>
    <w:rsid w:val="00046C43"/>
    <w:rsid w:val="00061448"/>
    <w:rsid w:val="00086043"/>
    <w:rsid w:val="00096465"/>
    <w:rsid w:val="000B6B13"/>
    <w:rsid w:val="000B7F23"/>
    <w:rsid w:val="000C6460"/>
    <w:rsid w:val="000D1D08"/>
    <w:rsid w:val="000E04B4"/>
    <w:rsid w:val="00103032"/>
    <w:rsid w:val="0010368E"/>
    <w:rsid w:val="00130017"/>
    <w:rsid w:val="001375C1"/>
    <w:rsid w:val="00140CFB"/>
    <w:rsid w:val="00147364"/>
    <w:rsid w:val="001531C4"/>
    <w:rsid w:val="001647EA"/>
    <w:rsid w:val="001671DA"/>
    <w:rsid w:val="001865A3"/>
    <w:rsid w:val="001A3944"/>
    <w:rsid w:val="001B0846"/>
    <w:rsid w:val="001B225C"/>
    <w:rsid w:val="001D1F3C"/>
    <w:rsid w:val="001F3BA7"/>
    <w:rsid w:val="00201945"/>
    <w:rsid w:val="002019E5"/>
    <w:rsid w:val="00236FF2"/>
    <w:rsid w:val="00243C1A"/>
    <w:rsid w:val="00250E8D"/>
    <w:rsid w:val="0025456A"/>
    <w:rsid w:val="00264EF7"/>
    <w:rsid w:val="002823D1"/>
    <w:rsid w:val="00293411"/>
    <w:rsid w:val="002A5305"/>
    <w:rsid w:val="002A5355"/>
    <w:rsid w:val="002B4D61"/>
    <w:rsid w:val="002D20E9"/>
    <w:rsid w:val="002D5F99"/>
    <w:rsid w:val="002E5DA9"/>
    <w:rsid w:val="002F1175"/>
    <w:rsid w:val="002F70C5"/>
    <w:rsid w:val="00311915"/>
    <w:rsid w:val="00342077"/>
    <w:rsid w:val="00353D6E"/>
    <w:rsid w:val="0035720D"/>
    <w:rsid w:val="00364816"/>
    <w:rsid w:val="00370A84"/>
    <w:rsid w:val="00374B04"/>
    <w:rsid w:val="003826B6"/>
    <w:rsid w:val="00384CA2"/>
    <w:rsid w:val="00385B07"/>
    <w:rsid w:val="003A09A7"/>
    <w:rsid w:val="003A3F28"/>
    <w:rsid w:val="003A7425"/>
    <w:rsid w:val="003C4A57"/>
    <w:rsid w:val="00406C6A"/>
    <w:rsid w:val="004329D9"/>
    <w:rsid w:val="00443512"/>
    <w:rsid w:val="00443D73"/>
    <w:rsid w:val="00446131"/>
    <w:rsid w:val="00452C4F"/>
    <w:rsid w:val="00455E7E"/>
    <w:rsid w:val="0046794D"/>
    <w:rsid w:val="0047774B"/>
    <w:rsid w:val="004829F6"/>
    <w:rsid w:val="00486837"/>
    <w:rsid w:val="0049290E"/>
    <w:rsid w:val="00494426"/>
    <w:rsid w:val="004A2241"/>
    <w:rsid w:val="004A562B"/>
    <w:rsid w:val="004B4AE3"/>
    <w:rsid w:val="004E7B33"/>
    <w:rsid w:val="00513196"/>
    <w:rsid w:val="005248EA"/>
    <w:rsid w:val="00526546"/>
    <w:rsid w:val="005269BC"/>
    <w:rsid w:val="00540555"/>
    <w:rsid w:val="00556451"/>
    <w:rsid w:val="00560B1C"/>
    <w:rsid w:val="00564DB0"/>
    <w:rsid w:val="00567846"/>
    <w:rsid w:val="00580ABA"/>
    <w:rsid w:val="00582813"/>
    <w:rsid w:val="00583B23"/>
    <w:rsid w:val="005A5EEA"/>
    <w:rsid w:val="005B6201"/>
    <w:rsid w:val="005E2E37"/>
    <w:rsid w:val="0060430D"/>
    <w:rsid w:val="00623E6E"/>
    <w:rsid w:val="00630131"/>
    <w:rsid w:val="00633B14"/>
    <w:rsid w:val="006358B3"/>
    <w:rsid w:val="00637332"/>
    <w:rsid w:val="00646100"/>
    <w:rsid w:val="00647996"/>
    <w:rsid w:val="00651CBB"/>
    <w:rsid w:val="00653317"/>
    <w:rsid w:val="00660A6A"/>
    <w:rsid w:val="00670193"/>
    <w:rsid w:val="00673A7D"/>
    <w:rsid w:val="00685D57"/>
    <w:rsid w:val="00690C9F"/>
    <w:rsid w:val="006927B0"/>
    <w:rsid w:val="006A01E8"/>
    <w:rsid w:val="006D0E91"/>
    <w:rsid w:val="006D23E5"/>
    <w:rsid w:val="006D24C3"/>
    <w:rsid w:val="006F4477"/>
    <w:rsid w:val="00702966"/>
    <w:rsid w:val="007051AD"/>
    <w:rsid w:val="00712AA7"/>
    <w:rsid w:val="00715B29"/>
    <w:rsid w:val="00720295"/>
    <w:rsid w:val="00750779"/>
    <w:rsid w:val="007520BA"/>
    <w:rsid w:val="00755AC7"/>
    <w:rsid w:val="007771E3"/>
    <w:rsid w:val="007830B9"/>
    <w:rsid w:val="007931B8"/>
    <w:rsid w:val="007936BF"/>
    <w:rsid w:val="007A564F"/>
    <w:rsid w:val="007A7D2A"/>
    <w:rsid w:val="007B216E"/>
    <w:rsid w:val="007C550C"/>
    <w:rsid w:val="007D3ABD"/>
    <w:rsid w:val="007E0035"/>
    <w:rsid w:val="007F052F"/>
    <w:rsid w:val="007F2F4F"/>
    <w:rsid w:val="00802F73"/>
    <w:rsid w:val="00802F84"/>
    <w:rsid w:val="008064C1"/>
    <w:rsid w:val="00812AC9"/>
    <w:rsid w:val="00843797"/>
    <w:rsid w:val="00857703"/>
    <w:rsid w:val="00866ACD"/>
    <w:rsid w:val="00875CFF"/>
    <w:rsid w:val="00881CAA"/>
    <w:rsid w:val="00886ABD"/>
    <w:rsid w:val="008971D5"/>
    <w:rsid w:val="008C4990"/>
    <w:rsid w:val="008D5CF5"/>
    <w:rsid w:val="008F0E08"/>
    <w:rsid w:val="009054E2"/>
    <w:rsid w:val="00923F3F"/>
    <w:rsid w:val="00931FB9"/>
    <w:rsid w:val="009320ED"/>
    <w:rsid w:val="009361C9"/>
    <w:rsid w:val="009404A5"/>
    <w:rsid w:val="00941588"/>
    <w:rsid w:val="0094586F"/>
    <w:rsid w:val="00957C2E"/>
    <w:rsid w:val="00963364"/>
    <w:rsid w:val="0097303C"/>
    <w:rsid w:val="009913D7"/>
    <w:rsid w:val="00997318"/>
    <w:rsid w:val="009B03DC"/>
    <w:rsid w:val="009D09FD"/>
    <w:rsid w:val="009D3ACD"/>
    <w:rsid w:val="009D67A0"/>
    <w:rsid w:val="009E5A6B"/>
    <w:rsid w:val="00A002EF"/>
    <w:rsid w:val="00A02780"/>
    <w:rsid w:val="00A07515"/>
    <w:rsid w:val="00A205F3"/>
    <w:rsid w:val="00A226A5"/>
    <w:rsid w:val="00A2549E"/>
    <w:rsid w:val="00A52171"/>
    <w:rsid w:val="00A863ED"/>
    <w:rsid w:val="00AA09D6"/>
    <w:rsid w:val="00AB789A"/>
    <w:rsid w:val="00AC6D68"/>
    <w:rsid w:val="00AD2E63"/>
    <w:rsid w:val="00AD626B"/>
    <w:rsid w:val="00AE3486"/>
    <w:rsid w:val="00AE6BC8"/>
    <w:rsid w:val="00B067C2"/>
    <w:rsid w:val="00B07841"/>
    <w:rsid w:val="00B14F7C"/>
    <w:rsid w:val="00B17BC7"/>
    <w:rsid w:val="00B2421D"/>
    <w:rsid w:val="00B25884"/>
    <w:rsid w:val="00B27B96"/>
    <w:rsid w:val="00B33AB0"/>
    <w:rsid w:val="00B50D23"/>
    <w:rsid w:val="00B82E26"/>
    <w:rsid w:val="00B971C5"/>
    <w:rsid w:val="00BA6413"/>
    <w:rsid w:val="00BB1525"/>
    <w:rsid w:val="00BB2EB7"/>
    <w:rsid w:val="00BB664B"/>
    <w:rsid w:val="00BC4856"/>
    <w:rsid w:val="00BD35E3"/>
    <w:rsid w:val="00BE78D4"/>
    <w:rsid w:val="00C011F1"/>
    <w:rsid w:val="00C02E85"/>
    <w:rsid w:val="00C15896"/>
    <w:rsid w:val="00C167CC"/>
    <w:rsid w:val="00C237EE"/>
    <w:rsid w:val="00C24109"/>
    <w:rsid w:val="00C320B8"/>
    <w:rsid w:val="00C44127"/>
    <w:rsid w:val="00C44E3F"/>
    <w:rsid w:val="00C47519"/>
    <w:rsid w:val="00C61C19"/>
    <w:rsid w:val="00C65585"/>
    <w:rsid w:val="00C73C4F"/>
    <w:rsid w:val="00C87C39"/>
    <w:rsid w:val="00C94CE3"/>
    <w:rsid w:val="00CB6F57"/>
    <w:rsid w:val="00CC0EB9"/>
    <w:rsid w:val="00CD34CA"/>
    <w:rsid w:val="00CE16C6"/>
    <w:rsid w:val="00CE449B"/>
    <w:rsid w:val="00CF2954"/>
    <w:rsid w:val="00D07351"/>
    <w:rsid w:val="00D1524E"/>
    <w:rsid w:val="00D3189F"/>
    <w:rsid w:val="00D41EE1"/>
    <w:rsid w:val="00D451C1"/>
    <w:rsid w:val="00D715D0"/>
    <w:rsid w:val="00D963D5"/>
    <w:rsid w:val="00DA1EBC"/>
    <w:rsid w:val="00DC7943"/>
    <w:rsid w:val="00DD4F93"/>
    <w:rsid w:val="00DD5185"/>
    <w:rsid w:val="00E00DA7"/>
    <w:rsid w:val="00E03968"/>
    <w:rsid w:val="00E1499E"/>
    <w:rsid w:val="00E32198"/>
    <w:rsid w:val="00E61311"/>
    <w:rsid w:val="00E657FA"/>
    <w:rsid w:val="00E82917"/>
    <w:rsid w:val="00E96A74"/>
    <w:rsid w:val="00E96C89"/>
    <w:rsid w:val="00EA3EF6"/>
    <w:rsid w:val="00EC2701"/>
    <w:rsid w:val="00EE37D3"/>
    <w:rsid w:val="00F2335A"/>
    <w:rsid w:val="00F24C98"/>
    <w:rsid w:val="00F576C5"/>
    <w:rsid w:val="00F609CE"/>
    <w:rsid w:val="00F61FC7"/>
    <w:rsid w:val="00F66479"/>
    <w:rsid w:val="00F7640F"/>
    <w:rsid w:val="00FA1A24"/>
    <w:rsid w:val="00FA333F"/>
    <w:rsid w:val="00FA4A6B"/>
    <w:rsid w:val="00FA67A0"/>
    <w:rsid w:val="00FC0CC0"/>
    <w:rsid w:val="00FC1C05"/>
    <w:rsid w:val="00FC7535"/>
    <w:rsid w:val="00FC78FF"/>
    <w:rsid w:val="00FD06C9"/>
    <w:rsid w:val="00FD5774"/>
    <w:rsid w:val="00FD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7066E"/>
  <w15:chartTrackingRefBased/>
  <w15:docId w15:val="{B55035CF-29C4-4D75-89B2-ECA89F6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9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hod">
    <w:name w:val="Method"/>
    <w:basedOn w:val="Normal"/>
    <w:rsid w:val="00F609CE"/>
    <w:pPr>
      <w:tabs>
        <w:tab w:val="left" w:pos="2160"/>
      </w:tabs>
      <w:spacing w:after="240"/>
    </w:pPr>
    <w:rPr>
      <w:rFonts w:ascii="Arial" w:hAnsi="Arial"/>
      <w:sz w:val="22"/>
      <w:szCs w:val="20"/>
    </w:rPr>
  </w:style>
  <w:style w:type="paragraph" w:customStyle="1" w:styleId="Analyte">
    <w:name w:val="Analyte"/>
    <w:basedOn w:val="Method"/>
    <w:rsid w:val="00F609CE"/>
    <w:pPr>
      <w:pBdr>
        <w:bottom w:val="single" w:sz="12" w:space="12" w:color="auto"/>
      </w:pBdr>
    </w:pPr>
  </w:style>
  <w:style w:type="paragraph" w:customStyle="1" w:styleId="10SOP">
    <w:name w:val="1.0 (SOP)"/>
    <w:basedOn w:val="Normal"/>
    <w:rsid w:val="00F609CE"/>
    <w:pPr>
      <w:keepNext/>
      <w:numPr>
        <w:numId w:val="1"/>
      </w:numPr>
      <w:spacing w:after="240"/>
      <w:outlineLvl w:val="0"/>
    </w:pPr>
    <w:rPr>
      <w:rFonts w:ascii="Arial" w:hAnsi="Arial"/>
      <w:b/>
      <w:sz w:val="22"/>
      <w:szCs w:val="20"/>
    </w:rPr>
  </w:style>
  <w:style w:type="paragraph" w:customStyle="1" w:styleId="11SOP">
    <w:name w:val="1.1 (SOP)"/>
    <w:basedOn w:val="Normal"/>
    <w:rsid w:val="00F609CE"/>
    <w:pPr>
      <w:numPr>
        <w:ilvl w:val="1"/>
        <w:numId w:val="1"/>
      </w:numPr>
      <w:tabs>
        <w:tab w:val="clear" w:pos="6300"/>
        <w:tab w:val="num" w:pos="1440"/>
      </w:tabs>
      <w:spacing w:after="240"/>
      <w:ind w:left="1440"/>
      <w:outlineLvl w:val="1"/>
    </w:pPr>
    <w:rPr>
      <w:rFonts w:ascii="Arial" w:hAnsi="Arial"/>
      <w:sz w:val="22"/>
      <w:szCs w:val="20"/>
    </w:rPr>
  </w:style>
  <w:style w:type="paragraph" w:customStyle="1" w:styleId="111SOP">
    <w:name w:val="1.1.1 (SOP)"/>
    <w:basedOn w:val="Normal"/>
    <w:rsid w:val="00F609CE"/>
    <w:pPr>
      <w:numPr>
        <w:ilvl w:val="2"/>
        <w:numId w:val="1"/>
      </w:numPr>
      <w:spacing w:after="240"/>
      <w:outlineLvl w:val="2"/>
    </w:pPr>
    <w:rPr>
      <w:rFonts w:ascii="Arial" w:hAnsi="Arial"/>
      <w:sz w:val="22"/>
      <w:szCs w:val="20"/>
    </w:rPr>
  </w:style>
  <w:style w:type="paragraph" w:customStyle="1" w:styleId="1111SOP">
    <w:name w:val="1.1.1.1 (SOP)"/>
    <w:basedOn w:val="Normal"/>
    <w:rsid w:val="00F609CE"/>
    <w:pPr>
      <w:numPr>
        <w:ilvl w:val="3"/>
        <w:numId w:val="1"/>
      </w:numPr>
      <w:spacing w:after="240"/>
      <w:outlineLvl w:val="3"/>
    </w:pPr>
    <w:rPr>
      <w:rFonts w:ascii="Arial" w:hAnsi="Arial"/>
      <w:sz w:val="22"/>
      <w:szCs w:val="20"/>
    </w:rPr>
  </w:style>
  <w:style w:type="paragraph" w:customStyle="1" w:styleId="Calcsunder11">
    <w:name w:val="Calcs (under 1.1)"/>
    <w:basedOn w:val="Normal"/>
    <w:rsid w:val="00F609CE"/>
    <w:pPr>
      <w:tabs>
        <w:tab w:val="left" w:pos="2160"/>
        <w:tab w:val="center" w:pos="4680"/>
      </w:tabs>
      <w:ind w:left="1440"/>
    </w:pPr>
    <w:rPr>
      <w:rFonts w:ascii="Arial" w:hAnsi="Arial"/>
      <w:sz w:val="20"/>
      <w:szCs w:val="20"/>
    </w:rPr>
  </w:style>
  <w:style w:type="paragraph" w:customStyle="1" w:styleId="11111SOP">
    <w:name w:val="1.1.1.1.1 (SOP)"/>
    <w:basedOn w:val="Normal"/>
    <w:rsid w:val="00F609CE"/>
    <w:pPr>
      <w:numPr>
        <w:ilvl w:val="4"/>
        <w:numId w:val="1"/>
      </w:numPr>
      <w:spacing w:after="240"/>
      <w:outlineLvl w:val="4"/>
    </w:pPr>
    <w:rPr>
      <w:rFonts w:ascii="Arial" w:hAnsi="Arial"/>
      <w:sz w:val="22"/>
      <w:szCs w:val="20"/>
    </w:rPr>
  </w:style>
  <w:style w:type="paragraph" w:styleId="BodyTextIndent">
    <w:name w:val="Body Text Indent"/>
    <w:basedOn w:val="Normal"/>
    <w:rsid w:val="00F609CE"/>
    <w:pPr>
      <w:ind w:left="720"/>
    </w:pPr>
    <w:rPr>
      <w:rFonts w:ascii="Arial" w:hAnsi="Arial"/>
      <w:sz w:val="22"/>
      <w:szCs w:val="20"/>
    </w:rPr>
  </w:style>
  <w:style w:type="paragraph" w:customStyle="1" w:styleId="Title-Method">
    <w:name w:val="Title-Method"/>
    <w:basedOn w:val="Method"/>
    <w:rsid w:val="00F609CE"/>
    <w:rPr>
      <w:bCs/>
    </w:rPr>
  </w:style>
  <w:style w:type="paragraph" w:styleId="Header">
    <w:name w:val="header"/>
    <w:basedOn w:val="Normal"/>
    <w:link w:val="HeaderChar"/>
    <w:uiPriority w:val="99"/>
    <w:rsid w:val="00F609CE"/>
    <w:pPr>
      <w:tabs>
        <w:tab w:val="center" w:pos="4320"/>
        <w:tab w:val="right" w:pos="8640"/>
      </w:tabs>
    </w:pPr>
  </w:style>
  <w:style w:type="paragraph" w:styleId="Footer">
    <w:name w:val="footer"/>
    <w:basedOn w:val="Normal"/>
    <w:link w:val="FooterChar"/>
    <w:uiPriority w:val="99"/>
    <w:rsid w:val="00F609CE"/>
    <w:pPr>
      <w:tabs>
        <w:tab w:val="center" w:pos="4320"/>
        <w:tab w:val="right" w:pos="8640"/>
      </w:tabs>
    </w:pPr>
  </w:style>
  <w:style w:type="table" w:styleId="TableGrid">
    <w:name w:val="Table Grid"/>
    <w:basedOn w:val="TableNormal"/>
    <w:uiPriority w:val="59"/>
    <w:rsid w:val="0094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0B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43E6D"/>
    <w:rPr>
      <w:rFonts w:ascii="Segoe UI" w:hAnsi="Segoe UI" w:cs="Segoe UI"/>
      <w:sz w:val="18"/>
      <w:szCs w:val="18"/>
    </w:rPr>
  </w:style>
  <w:style w:type="character" w:customStyle="1" w:styleId="BalloonTextChar">
    <w:name w:val="Balloon Text Char"/>
    <w:basedOn w:val="DefaultParagraphFont"/>
    <w:link w:val="BalloonText"/>
    <w:rsid w:val="00043E6D"/>
    <w:rPr>
      <w:rFonts w:ascii="Segoe UI" w:hAnsi="Segoe UI" w:cs="Segoe UI"/>
      <w:sz w:val="18"/>
      <w:szCs w:val="18"/>
    </w:rPr>
  </w:style>
  <w:style w:type="character" w:customStyle="1" w:styleId="FooterChar">
    <w:name w:val="Footer Char"/>
    <w:basedOn w:val="DefaultParagraphFont"/>
    <w:link w:val="Footer"/>
    <w:uiPriority w:val="99"/>
    <w:rsid w:val="001671DA"/>
    <w:rPr>
      <w:sz w:val="24"/>
      <w:szCs w:val="24"/>
    </w:rPr>
  </w:style>
  <w:style w:type="character" w:styleId="PlaceholderText">
    <w:name w:val="Placeholder Text"/>
    <w:basedOn w:val="DefaultParagraphFont"/>
    <w:uiPriority w:val="99"/>
    <w:semiHidden/>
    <w:rsid w:val="00556451"/>
    <w:rPr>
      <w:color w:val="808080"/>
    </w:rPr>
  </w:style>
  <w:style w:type="character" w:styleId="Hyperlink">
    <w:name w:val="Hyperlink"/>
    <w:basedOn w:val="DefaultParagraphFont"/>
    <w:rsid w:val="00690C9F"/>
    <w:rPr>
      <w:color w:val="0563C1" w:themeColor="hyperlink"/>
      <w:u w:val="single"/>
    </w:rPr>
  </w:style>
  <w:style w:type="character" w:styleId="UnresolvedMention">
    <w:name w:val="Unresolved Mention"/>
    <w:basedOn w:val="DefaultParagraphFont"/>
    <w:uiPriority w:val="99"/>
    <w:semiHidden/>
    <w:unhideWhenUsed/>
    <w:rsid w:val="00690C9F"/>
    <w:rPr>
      <w:color w:val="808080"/>
      <w:shd w:val="clear" w:color="auto" w:fill="E6E6E6"/>
    </w:rPr>
  </w:style>
  <w:style w:type="character" w:customStyle="1" w:styleId="HeaderChar">
    <w:name w:val="Header Char"/>
    <w:basedOn w:val="DefaultParagraphFont"/>
    <w:link w:val="Header"/>
    <w:uiPriority w:val="99"/>
    <w:rsid w:val="008064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Village of Twin Lakes Wastewater Treatment Plant Laboratory</vt:lpstr>
    </vt:vector>
  </TitlesOfParts>
  <Company>Village of Twin Lakes</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Twin Lakes Wastewater Treatment Plant Laboratory</dc:title>
  <dc:subject/>
  <dc:creator>WWTF</dc:creator>
  <cp:keywords/>
  <cp:lastModifiedBy>Farrell, Autumn R - DNR</cp:lastModifiedBy>
  <cp:revision>4</cp:revision>
  <dcterms:created xsi:type="dcterms:W3CDTF">2021-09-27T14:37:00Z</dcterms:created>
  <dcterms:modified xsi:type="dcterms:W3CDTF">2021-09-27T14:56:00Z</dcterms:modified>
</cp:coreProperties>
</file>