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712DC" w14:textId="77777777" w:rsidR="00A76F9D" w:rsidRPr="009D0B9E" w:rsidRDefault="00A76F9D" w:rsidP="00A76F9D">
      <w:pPr>
        <w:rPr>
          <w:b/>
          <w:color w:val="FF0000"/>
        </w:rPr>
      </w:pPr>
      <w:r w:rsidRPr="009D0B9E">
        <w:rPr>
          <w:b/>
          <w:color w:val="FF0000"/>
        </w:rPr>
        <w:t>Update items in red font at a minimum, make sure to update any steps to reflect your procedures.</w:t>
      </w:r>
    </w:p>
    <w:p w14:paraId="5CFB4BE0" w14:textId="502353AB" w:rsidR="00A76F9D" w:rsidRDefault="00A76F9D" w:rsidP="00A76F9D">
      <w:pPr>
        <w:rPr>
          <w:b/>
          <w:color w:val="FF0000"/>
          <w:u w:val="single"/>
        </w:rPr>
      </w:pPr>
      <w:r w:rsidRPr="0079060C">
        <w:rPr>
          <w:b/>
        </w:rPr>
        <w:t xml:space="preserve">Revision Date: </w:t>
      </w:r>
      <w:r w:rsidRPr="009D0B9E">
        <w:rPr>
          <w:b/>
          <w:color w:val="FF0000"/>
          <w:u w:val="single"/>
        </w:rPr>
        <w:t>October 10, 20</w:t>
      </w:r>
      <w:r>
        <w:rPr>
          <w:b/>
          <w:color w:val="FF0000"/>
          <w:u w:val="single"/>
        </w:rPr>
        <w:t>2</w:t>
      </w:r>
      <w:r w:rsidRPr="009D0B9E">
        <w:rPr>
          <w:b/>
          <w:color w:val="FF0000"/>
          <w:u w:val="single"/>
        </w:rPr>
        <w:t>1.</w:t>
      </w:r>
    </w:p>
    <w:p w14:paraId="764DB45D" w14:textId="77777777" w:rsidR="00A76F9D" w:rsidRDefault="00A76F9D" w:rsidP="00A76F9D">
      <w:pPr>
        <w:rPr>
          <w:b/>
          <w:u w:val="single"/>
        </w:rPr>
      </w:pPr>
    </w:p>
    <w:p w14:paraId="2F9AB4EE" w14:textId="55BBB23C" w:rsidR="00A76F9D" w:rsidRPr="00A76F9D" w:rsidRDefault="00A76F9D" w:rsidP="00A76F9D">
      <w:pPr>
        <w:ind w:right="-180"/>
        <w:rPr>
          <w:rFonts w:asciiTheme="minorHAnsi" w:hAnsiTheme="minorHAnsi" w:cstheme="minorHAnsi"/>
          <w:i/>
          <w:sz w:val="22"/>
          <w:szCs w:val="22"/>
        </w:rPr>
      </w:pPr>
      <w:r w:rsidRPr="00A76F9D">
        <w:rPr>
          <w:rFonts w:asciiTheme="minorHAnsi" w:hAnsiTheme="minorHAnsi" w:cstheme="minorHAnsi"/>
          <w:i/>
          <w:sz w:val="22"/>
          <w:szCs w:val="22"/>
        </w:rPr>
        <w:t>The SOP must be read completely and followed by laboratory staff doing analysis. An IDC maybe completed by analysis of passing standard and blank results, quarterly blinds, or PT samples, or simply reading and following the SOP.</w:t>
      </w:r>
    </w:p>
    <w:p w14:paraId="6346F2A2" w14:textId="7B05E163" w:rsidR="00A76F9D" w:rsidRDefault="00A76F9D" w:rsidP="00A76F9D">
      <w:pPr>
        <w:pStyle w:val="10SOP"/>
        <w:numPr>
          <w:ilvl w:val="0"/>
          <w:numId w:val="0"/>
        </w:numPr>
      </w:pPr>
    </w:p>
    <w:p w14:paraId="6449E362" w14:textId="04F4221B" w:rsidR="00A76F9D" w:rsidRDefault="00A76F9D" w:rsidP="00A76F9D">
      <w:pPr>
        <w:pStyle w:val="ListParagraph"/>
        <w:numPr>
          <w:ilvl w:val="0"/>
          <w:numId w:val="13"/>
        </w:numPr>
        <w:tabs>
          <w:tab w:val="left" w:pos="90"/>
          <w:tab w:val="left" w:pos="450"/>
        </w:tabs>
        <w:spacing w:after="0" w:line="240" w:lineRule="auto"/>
        <w:ind w:left="446"/>
        <w:contextualSpacing w:val="0"/>
      </w:pPr>
      <w:r w:rsidRPr="001F0FD0">
        <w:rPr>
          <w:b/>
        </w:rPr>
        <w:t>Analyte:</w:t>
      </w:r>
      <w:r>
        <w:t xml:space="preserve"> Ammonia (NH</w:t>
      </w:r>
      <w:r w:rsidRPr="00222FAE">
        <w:rPr>
          <w:vertAlign w:val="subscript"/>
        </w:rPr>
        <w:t>3</w:t>
      </w:r>
      <w:r>
        <w:t xml:space="preserve">-N) </w:t>
      </w:r>
    </w:p>
    <w:p w14:paraId="2E0A247C" w14:textId="77777777" w:rsidR="00A76F9D" w:rsidRDefault="00A76F9D" w:rsidP="00A91BC6">
      <w:pPr>
        <w:tabs>
          <w:tab w:val="left" w:pos="90"/>
          <w:tab w:val="left" w:pos="450"/>
        </w:tabs>
      </w:pPr>
    </w:p>
    <w:p w14:paraId="342E0848" w14:textId="660969C8" w:rsidR="00A76F9D" w:rsidRDefault="00A76F9D" w:rsidP="00A76F9D">
      <w:pPr>
        <w:pStyle w:val="ListParagraph"/>
        <w:numPr>
          <w:ilvl w:val="0"/>
          <w:numId w:val="13"/>
        </w:numPr>
        <w:tabs>
          <w:tab w:val="left" w:pos="450"/>
        </w:tabs>
        <w:spacing w:after="0" w:line="240" w:lineRule="auto"/>
        <w:ind w:left="446"/>
        <w:contextualSpacing w:val="0"/>
      </w:pPr>
      <w:r w:rsidRPr="001F0FD0">
        <w:rPr>
          <w:b/>
        </w:rPr>
        <w:t>Scope and Application</w:t>
      </w:r>
      <w:r>
        <w:t xml:space="preserve">: This method is applicable to domestic and industrial wastes matrices. </w:t>
      </w:r>
      <w:r w:rsidR="005E4FBD">
        <w:t xml:space="preserve">Studies using this vendor method have </w:t>
      </w:r>
      <w:r>
        <w:t>show</w:t>
      </w:r>
      <w:r w:rsidR="005E4FBD">
        <w:t>n, with data,</w:t>
      </w:r>
      <w:r>
        <w:t xml:space="preserve"> that distillation of domestic wastewater effluents using </w:t>
      </w:r>
      <w:proofErr w:type="spellStart"/>
      <w:r>
        <w:t>TNTplus</w:t>
      </w:r>
      <w:proofErr w:type="spellEnd"/>
      <w:r>
        <w:t xml:space="preserve"> TM 830 is not required. </w:t>
      </w:r>
      <w:r w:rsidR="005E4FBD">
        <w:t>Sample results</w:t>
      </w:r>
      <w:r>
        <w:t xml:space="preserve"> </w:t>
      </w:r>
      <w:r w:rsidR="005E4FBD">
        <w:t>are submitted</w:t>
      </w:r>
      <w:r>
        <w:t xml:space="preserve"> on the electronic Discharge Monitoring Report (eDMR), </w:t>
      </w:r>
      <w:r w:rsidR="005E4FBD">
        <w:t>are</w:t>
      </w:r>
      <w:r>
        <w:t xml:space="preserve"> used for </w:t>
      </w:r>
      <w:r w:rsidR="00B10DB5">
        <w:t xml:space="preserve">to determine </w:t>
      </w:r>
      <w:r>
        <w:t>compliance of discharge limits.</w:t>
      </w:r>
    </w:p>
    <w:p w14:paraId="1DF40392" w14:textId="77777777" w:rsidR="00A91BC6" w:rsidRDefault="00A91BC6" w:rsidP="00A91BC6">
      <w:pPr>
        <w:tabs>
          <w:tab w:val="left" w:pos="450"/>
        </w:tabs>
      </w:pPr>
    </w:p>
    <w:p w14:paraId="5EC60B62" w14:textId="63C81CFC" w:rsidR="00A76F9D" w:rsidRDefault="00A76F9D" w:rsidP="00A91BC6">
      <w:pPr>
        <w:pStyle w:val="ListParagraph"/>
        <w:numPr>
          <w:ilvl w:val="0"/>
          <w:numId w:val="13"/>
        </w:numPr>
        <w:tabs>
          <w:tab w:val="left" w:pos="450"/>
        </w:tabs>
        <w:spacing w:after="0" w:line="240" w:lineRule="auto"/>
        <w:ind w:left="446"/>
        <w:contextualSpacing w:val="0"/>
      </w:pPr>
      <w:r w:rsidRPr="00A91BC6">
        <w:rPr>
          <w:b/>
        </w:rPr>
        <w:t>Summary of the Test Method:</w:t>
      </w:r>
      <w:r w:rsidR="00A91BC6">
        <w:t xml:space="preserve"> Ammonium ions react at pH 12.6 </w:t>
      </w:r>
      <w:r w:rsidR="00A91BC6" w:rsidRPr="00A91BC6">
        <w:rPr>
          <w:rFonts w:cs="Arial"/>
        </w:rPr>
        <w:t>with hypochlorite ions and salicylate ions in the presence of sodium nitroprusside as a catalyst to form indophenol. The amount of color formed is directly proportional to the ammonia nitrogen present in the sample. Test results are measured at 690 ± 5 nm</w:t>
      </w:r>
      <w:r w:rsidR="00A91BC6" w:rsidRPr="00E120A0">
        <w:t>.</w:t>
      </w:r>
    </w:p>
    <w:p w14:paraId="0F0CCA83" w14:textId="77777777" w:rsidR="00A91BC6" w:rsidRDefault="00A91BC6" w:rsidP="00A91BC6">
      <w:pPr>
        <w:tabs>
          <w:tab w:val="left" w:pos="450"/>
        </w:tabs>
      </w:pPr>
    </w:p>
    <w:p w14:paraId="7195BEB0" w14:textId="11DBFF94" w:rsidR="007134D0" w:rsidRDefault="00A76F9D" w:rsidP="00901561">
      <w:pPr>
        <w:pStyle w:val="ListParagraph"/>
        <w:numPr>
          <w:ilvl w:val="0"/>
          <w:numId w:val="13"/>
        </w:numPr>
        <w:tabs>
          <w:tab w:val="left" w:pos="450"/>
        </w:tabs>
        <w:spacing w:after="120" w:line="240" w:lineRule="auto"/>
        <w:contextualSpacing w:val="0"/>
      </w:pPr>
      <w:r w:rsidRPr="00FC3C7B">
        <w:rPr>
          <w:b/>
        </w:rPr>
        <w:t xml:space="preserve">Method Sensitivity: </w:t>
      </w:r>
      <w:r>
        <w:t>The Method Detection Limit</w:t>
      </w:r>
      <w:r w:rsidR="00A91BC6">
        <w:t xml:space="preserve"> (MDL/LOD) must be determined initially and then recalculated each year according to the approved MDL / LOD procedure.</w:t>
      </w:r>
      <w:r>
        <w:t xml:space="preserve"> </w:t>
      </w:r>
    </w:p>
    <w:p w14:paraId="2C57F793" w14:textId="64B7175F" w:rsidR="007134D0" w:rsidRDefault="007134D0" w:rsidP="00137B32">
      <w:pPr>
        <w:pStyle w:val="ListParagraph"/>
        <w:tabs>
          <w:tab w:val="left" w:pos="450"/>
        </w:tabs>
        <w:spacing w:after="120" w:line="240" w:lineRule="auto"/>
        <w:ind w:left="446"/>
        <w:contextualSpacing w:val="0"/>
      </w:pPr>
      <w:r>
        <w:t xml:space="preserve">For the ongoing LOD, all method blanks </w:t>
      </w:r>
      <w:r w:rsidR="00901561">
        <w:t xml:space="preserve">analyzed with samples that are reported </w:t>
      </w:r>
      <w:r>
        <w:t xml:space="preserve">are entered into the WDNR spreadsheet (or equivalent) along with two different LOD spikes (in different batches) each quarter. </w:t>
      </w:r>
      <w:r w:rsidR="00137B32">
        <w:t>C</w:t>
      </w:r>
      <w:r>
        <w:t xml:space="preserve">alculate the ongoing LOD </w:t>
      </w:r>
      <w:r w:rsidR="00901561">
        <w:t>every 13 mo. The ongoing LOD spikes are the same concentration as the initial LOD</w:t>
      </w:r>
      <w:r w:rsidR="00137B32">
        <w:t xml:space="preserve"> </w:t>
      </w:r>
      <w:proofErr w:type="gramStart"/>
      <w:r w:rsidR="00137B32">
        <w:t>in order to</w:t>
      </w:r>
      <w:proofErr w:type="gramEnd"/>
      <w:r w:rsidR="00137B32">
        <w:t xml:space="preserve"> compare if the LOD should be updated. The LOD must be at or below the permit limit.</w:t>
      </w:r>
    </w:p>
    <w:p w14:paraId="1B836198" w14:textId="67804767" w:rsidR="00A91BC6" w:rsidRDefault="00A91BC6" w:rsidP="00901561">
      <w:pPr>
        <w:pStyle w:val="ListParagraph"/>
        <w:tabs>
          <w:tab w:val="left" w:pos="450"/>
        </w:tabs>
        <w:spacing w:after="0" w:line="240" w:lineRule="auto"/>
        <w:ind w:left="446"/>
        <w:contextualSpacing w:val="0"/>
      </w:pPr>
      <w:r>
        <w:t>The LOQ is typically 10/3 the LOD. Alternatively</w:t>
      </w:r>
      <w:r w:rsidR="00137B32">
        <w:t>,</w:t>
      </w:r>
      <w:r>
        <w:t xml:space="preserve"> the low </w:t>
      </w:r>
      <w:r w:rsidR="00137B32">
        <w:t xml:space="preserve">calibration </w:t>
      </w:r>
      <w:r>
        <w:t xml:space="preserve">standard </w:t>
      </w:r>
      <w:r w:rsidR="00137B32">
        <w:t xml:space="preserve">concentration </w:t>
      </w:r>
      <w:r>
        <w:t xml:space="preserve">may be used for the LOQ (which must be above the LOD). </w:t>
      </w:r>
    </w:p>
    <w:p w14:paraId="2532C1E7" w14:textId="77777777" w:rsidR="00901561" w:rsidRDefault="00901561" w:rsidP="00901561">
      <w:pPr>
        <w:pStyle w:val="ListParagraph"/>
        <w:tabs>
          <w:tab w:val="left" w:pos="450"/>
        </w:tabs>
        <w:spacing w:after="0" w:line="240" w:lineRule="auto"/>
        <w:ind w:left="446"/>
        <w:contextualSpacing w:val="0"/>
      </w:pPr>
    </w:p>
    <w:p w14:paraId="003708E9" w14:textId="6EA1BF3D" w:rsidR="00A91BC6" w:rsidRPr="00A91BC6" w:rsidRDefault="00A91BC6" w:rsidP="00A91BC6">
      <w:pPr>
        <w:pStyle w:val="ListParagraph"/>
        <w:numPr>
          <w:ilvl w:val="0"/>
          <w:numId w:val="13"/>
        </w:numPr>
        <w:tabs>
          <w:tab w:val="left" w:pos="450"/>
        </w:tabs>
        <w:spacing w:line="240" w:lineRule="auto"/>
      </w:pPr>
      <w:r w:rsidRPr="00A91BC6">
        <w:rPr>
          <w:b/>
          <w:bCs/>
        </w:rPr>
        <w:t>Potential Interferences:</w:t>
      </w:r>
      <w:r>
        <w:t xml:space="preserve"> the ions listed in the Hach reference method up to the concentration ranges of those analytes do not cause interferences. </w:t>
      </w:r>
      <w:r w:rsidRPr="00960D4A">
        <w:rPr>
          <w:bCs/>
        </w:rPr>
        <w:t>A 10,000-fold excess of urea does</w:t>
      </w:r>
      <w:r>
        <w:rPr>
          <w:bCs/>
        </w:rPr>
        <w:t xml:space="preserve"> </w:t>
      </w:r>
      <w:r w:rsidRPr="00960D4A">
        <w:rPr>
          <w:bCs/>
        </w:rPr>
        <w:t>not interfere. All reducing agents interfere and cause low-bias results.</w:t>
      </w:r>
      <w:r>
        <w:rPr>
          <w:bCs/>
        </w:rPr>
        <w:t xml:space="preserve">  An analyte which is </w:t>
      </w:r>
      <w:proofErr w:type="gramStart"/>
      <w:r>
        <w:rPr>
          <w:bCs/>
        </w:rPr>
        <w:t>in excess of</w:t>
      </w:r>
      <w:proofErr w:type="gramEnd"/>
      <w:r>
        <w:rPr>
          <w:bCs/>
        </w:rPr>
        <w:t xml:space="preserve"> the stated range will affect color formation resulting in a false reading. Measurements can be verified using sample dilutions. Samples with a high level of interference require distillation.</w:t>
      </w:r>
    </w:p>
    <w:p w14:paraId="03129173" w14:textId="77777777" w:rsidR="00A91BC6" w:rsidRDefault="00A91BC6" w:rsidP="00A91BC6">
      <w:pPr>
        <w:pStyle w:val="ListParagraph"/>
      </w:pPr>
    </w:p>
    <w:p w14:paraId="0C2C8CEC" w14:textId="2CA7C2BD" w:rsidR="007954A1" w:rsidRPr="007954A1" w:rsidRDefault="00100033" w:rsidP="007954A1">
      <w:pPr>
        <w:pStyle w:val="ListParagraph"/>
        <w:numPr>
          <w:ilvl w:val="0"/>
          <w:numId w:val="13"/>
        </w:numPr>
        <w:tabs>
          <w:tab w:val="left" w:pos="450"/>
        </w:tabs>
        <w:spacing w:after="120" w:line="240" w:lineRule="auto"/>
        <w:contextualSpacing w:val="0"/>
      </w:pPr>
      <w:r>
        <w:rPr>
          <w:b/>
          <w:bCs/>
        </w:rPr>
        <w:t xml:space="preserve">Sample Handling: </w:t>
      </w:r>
      <w:r w:rsidRPr="007954A1">
        <w:t>Collect samples in clean plastic (or glass) bottles.</w:t>
      </w:r>
      <w:r w:rsidR="007954A1" w:rsidRPr="007954A1">
        <w:t xml:space="preserve"> The hold time for a preserved sample is 28 days. Store refrigerated (above freezing to 6</w:t>
      </w:r>
      <w:r w:rsidR="007954A1" w:rsidRPr="007954A1">
        <w:rPr>
          <w:vertAlign w:val="superscript"/>
        </w:rPr>
        <w:t>o</w:t>
      </w:r>
      <w:r w:rsidR="007954A1" w:rsidRPr="007954A1">
        <w:t>C) – separate from standards or contaminating sources.</w:t>
      </w:r>
    </w:p>
    <w:p w14:paraId="6531E69F" w14:textId="6A3E5CFE" w:rsidR="007954A1" w:rsidRDefault="007954A1" w:rsidP="007954A1">
      <w:pPr>
        <w:pStyle w:val="ListParagraph"/>
        <w:tabs>
          <w:tab w:val="left" w:pos="450"/>
        </w:tabs>
        <w:spacing w:after="120" w:line="240" w:lineRule="auto"/>
        <w:ind w:left="450"/>
        <w:contextualSpacing w:val="0"/>
      </w:pPr>
      <w:r>
        <w:rPr>
          <w:b/>
          <w:bCs/>
        </w:rPr>
        <w:t xml:space="preserve">Preserve </w:t>
      </w:r>
      <w:r w:rsidRPr="007954A1">
        <w:t>with H</w:t>
      </w:r>
      <w:r w:rsidRPr="007954A1">
        <w:rPr>
          <w:vertAlign w:val="subscript"/>
        </w:rPr>
        <w:t>2</w:t>
      </w:r>
      <w:r w:rsidRPr="007954A1">
        <w:t>SO</w:t>
      </w:r>
      <w:r w:rsidRPr="007954A1">
        <w:rPr>
          <w:vertAlign w:val="subscript"/>
        </w:rPr>
        <w:t>4</w:t>
      </w:r>
      <w:r w:rsidRPr="007954A1">
        <w:t xml:space="preserve"> at collection unless the samples will be analyzed immediately (~15minutes). This can be done by adding ~ 0.5ml of 5 N</w:t>
      </w:r>
      <w:r>
        <w:rPr>
          <w:b/>
          <w:bCs/>
        </w:rPr>
        <w:t xml:space="preserve"> </w:t>
      </w:r>
      <w:r w:rsidRPr="00452C4F">
        <w:t>H</w:t>
      </w:r>
      <w:r w:rsidRPr="00BC4856">
        <w:rPr>
          <w:vertAlign w:val="subscript"/>
        </w:rPr>
        <w:t>2</w:t>
      </w:r>
      <w:r w:rsidRPr="00452C4F">
        <w:t>SO</w:t>
      </w:r>
      <w:r w:rsidRPr="00BC4856">
        <w:rPr>
          <w:vertAlign w:val="subscript"/>
        </w:rPr>
        <w:t>4</w:t>
      </w:r>
      <w:r>
        <w:t xml:space="preserve"> per 200 mL of sample. </w:t>
      </w:r>
    </w:p>
    <w:p w14:paraId="18C299E9" w14:textId="5204B2B8" w:rsidR="00100033" w:rsidRPr="007954A1" w:rsidRDefault="007954A1" w:rsidP="007954A1">
      <w:pPr>
        <w:pStyle w:val="ListParagraph"/>
        <w:tabs>
          <w:tab w:val="left" w:pos="450"/>
        </w:tabs>
        <w:spacing w:after="0" w:line="240" w:lineRule="auto"/>
        <w:ind w:left="446"/>
        <w:contextualSpacing w:val="0"/>
        <w:rPr>
          <w:b/>
          <w:bCs/>
        </w:rPr>
      </w:pPr>
      <w:r>
        <w:t xml:space="preserve">Periodically (at least quarterly) verify the pH is &lt;2 using pH paper and document the </w:t>
      </w:r>
      <w:proofErr w:type="spellStart"/>
      <w:r>
        <w:t>pH.</w:t>
      </w:r>
      <w:proofErr w:type="spellEnd"/>
    </w:p>
    <w:p w14:paraId="56056DAE" w14:textId="77777777" w:rsidR="00100033" w:rsidRPr="00100033" w:rsidRDefault="00100033" w:rsidP="00100033">
      <w:pPr>
        <w:pStyle w:val="ListParagraph"/>
        <w:rPr>
          <w:b/>
          <w:bCs/>
        </w:rPr>
      </w:pPr>
    </w:p>
    <w:p w14:paraId="128232BC" w14:textId="36D1F1B9" w:rsidR="00A91BC6" w:rsidRPr="008F36DB" w:rsidRDefault="00A91BC6" w:rsidP="00A91BC6">
      <w:pPr>
        <w:pStyle w:val="ListParagraph"/>
        <w:numPr>
          <w:ilvl w:val="0"/>
          <w:numId w:val="13"/>
        </w:numPr>
        <w:tabs>
          <w:tab w:val="left" w:pos="450"/>
        </w:tabs>
        <w:spacing w:line="240" w:lineRule="auto"/>
        <w:rPr>
          <w:b/>
          <w:bCs/>
        </w:rPr>
      </w:pPr>
      <w:r w:rsidRPr="008F36DB">
        <w:rPr>
          <w:b/>
          <w:bCs/>
        </w:rPr>
        <w:t>Equipment and Supplies:</w:t>
      </w:r>
    </w:p>
    <w:p w14:paraId="7738F6AD" w14:textId="3C8A3530" w:rsidR="00A91BC6" w:rsidRPr="00A91BC6" w:rsidRDefault="00A91BC6" w:rsidP="008F36DB">
      <w:pPr>
        <w:pStyle w:val="11SOP"/>
        <w:numPr>
          <w:ilvl w:val="0"/>
          <w:numId w:val="16"/>
        </w:numPr>
        <w:spacing w:after="120"/>
        <w:rPr>
          <w:rFonts w:asciiTheme="minorHAnsi" w:hAnsiTheme="minorHAnsi" w:cstheme="minorHAnsi"/>
        </w:rPr>
      </w:pPr>
      <w:r w:rsidRPr="00A91BC6">
        <w:rPr>
          <w:rFonts w:asciiTheme="minorHAnsi" w:hAnsiTheme="minorHAnsi" w:cstheme="minorHAnsi"/>
        </w:rPr>
        <w:t xml:space="preserve">Spectrophotometer, </w:t>
      </w:r>
      <w:r w:rsidR="008F36DB" w:rsidRPr="008F36DB">
        <w:rPr>
          <w:rFonts w:asciiTheme="minorHAnsi" w:hAnsiTheme="minorHAnsi" w:cstheme="minorHAnsi"/>
          <w:color w:val="FF0000"/>
        </w:rPr>
        <w:t>Model _______</w:t>
      </w:r>
      <w:r w:rsidRPr="008F36DB">
        <w:rPr>
          <w:rFonts w:asciiTheme="minorHAnsi" w:hAnsiTheme="minorHAnsi" w:cstheme="minorHAnsi"/>
          <w:color w:val="FF0000"/>
        </w:rPr>
        <w:t xml:space="preserve"> </w:t>
      </w:r>
      <w:r w:rsidRPr="00A91BC6">
        <w:rPr>
          <w:rFonts w:asciiTheme="minorHAnsi" w:hAnsiTheme="minorHAnsi" w:cstheme="minorHAnsi"/>
        </w:rPr>
        <w:t>for use at 690 nm</w:t>
      </w:r>
    </w:p>
    <w:p w14:paraId="5F5C4B59" w14:textId="2533727E" w:rsidR="00A91BC6" w:rsidRPr="00A91BC6" w:rsidRDefault="00A91BC6" w:rsidP="008F36DB">
      <w:pPr>
        <w:pStyle w:val="11SOP"/>
        <w:numPr>
          <w:ilvl w:val="0"/>
          <w:numId w:val="16"/>
        </w:numPr>
        <w:spacing w:after="120"/>
        <w:rPr>
          <w:rFonts w:asciiTheme="minorHAnsi" w:hAnsiTheme="minorHAnsi" w:cstheme="minorHAnsi"/>
        </w:rPr>
      </w:pPr>
      <w:r w:rsidRPr="00A91BC6">
        <w:rPr>
          <w:rFonts w:asciiTheme="minorHAnsi" w:hAnsiTheme="minorHAnsi" w:cstheme="minorHAnsi"/>
        </w:rPr>
        <w:t xml:space="preserve">Class A pipets </w:t>
      </w:r>
      <w:r w:rsidR="008F36DB">
        <w:rPr>
          <w:rFonts w:asciiTheme="minorHAnsi" w:hAnsiTheme="minorHAnsi" w:cstheme="minorHAnsi"/>
        </w:rPr>
        <w:t xml:space="preserve">(cleaned) </w:t>
      </w:r>
      <w:r w:rsidRPr="00A91BC6">
        <w:rPr>
          <w:rFonts w:asciiTheme="minorHAnsi" w:hAnsiTheme="minorHAnsi" w:cstheme="minorHAnsi"/>
        </w:rPr>
        <w:t xml:space="preserve">or verified mechanical pipettors </w:t>
      </w:r>
      <w:r w:rsidR="008F36DB">
        <w:rPr>
          <w:rFonts w:asciiTheme="minorHAnsi" w:hAnsiTheme="minorHAnsi" w:cstheme="minorHAnsi"/>
        </w:rPr>
        <w:t xml:space="preserve">and disposable tips </w:t>
      </w:r>
    </w:p>
    <w:p w14:paraId="72C382F3" w14:textId="640564CC" w:rsidR="00A91BC6" w:rsidRPr="00A91BC6" w:rsidRDefault="00331A7A" w:rsidP="008F36DB">
      <w:pPr>
        <w:pStyle w:val="11SOP"/>
        <w:numPr>
          <w:ilvl w:val="0"/>
          <w:numId w:val="16"/>
        </w:numPr>
        <w:spacing w:after="120"/>
        <w:rPr>
          <w:rFonts w:asciiTheme="minorHAnsi" w:hAnsiTheme="minorHAnsi" w:cstheme="minorHAnsi"/>
        </w:rPr>
      </w:pPr>
      <w:r>
        <w:rPr>
          <w:rFonts w:asciiTheme="minorHAnsi" w:hAnsiTheme="minorHAnsi" w:cstheme="minorHAnsi"/>
        </w:rPr>
        <w:t>G</w:t>
      </w:r>
      <w:r w:rsidR="00A91BC6" w:rsidRPr="00A91BC6">
        <w:rPr>
          <w:rFonts w:asciiTheme="minorHAnsi" w:hAnsiTheme="minorHAnsi" w:cstheme="minorHAnsi"/>
        </w:rPr>
        <w:t>lassware</w:t>
      </w:r>
      <w:r>
        <w:rPr>
          <w:rFonts w:asciiTheme="minorHAnsi" w:hAnsiTheme="minorHAnsi" w:cstheme="minorHAnsi"/>
        </w:rPr>
        <w:t xml:space="preserve"> such as beakers,</w:t>
      </w:r>
      <w:r w:rsidR="00A91BC6" w:rsidRPr="00A91BC6">
        <w:rPr>
          <w:rFonts w:asciiTheme="minorHAnsi" w:hAnsiTheme="minorHAnsi" w:cstheme="minorHAnsi"/>
        </w:rPr>
        <w:t xml:space="preserve"> </w:t>
      </w:r>
      <w:r w:rsidR="00137B32">
        <w:rPr>
          <w:rFonts w:asciiTheme="minorHAnsi" w:hAnsiTheme="minorHAnsi" w:cstheme="minorHAnsi"/>
        </w:rPr>
        <w:t xml:space="preserve">volumetric </w:t>
      </w:r>
      <w:proofErr w:type="gramStart"/>
      <w:r w:rsidR="00137B32">
        <w:rPr>
          <w:rFonts w:asciiTheme="minorHAnsi" w:hAnsiTheme="minorHAnsi" w:cstheme="minorHAnsi"/>
        </w:rPr>
        <w:t>flasks</w:t>
      </w:r>
      <w:proofErr w:type="gramEnd"/>
      <w:r w:rsidR="00137B32">
        <w:rPr>
          <w:rFonts w:asciiTheme="minorHAnsi" w:hAnsiTheme="minorHAnsi" w:cstheme="minorHAnsi"/>
        </w:rPr>
        <w:t xml:space="preserve"> and</w:t>
      </w:r>
      <w:r w:rsidR="00A91BC6" w:rsidRPr="00A91BC6">
        <w:rPr>
          <w:rFonts w:asciiTheme="minorHAnsi" w:hAnsiTheme="minorHAnsi" w:cstheme="minorHAnsi"/>
        </w:rPr>
        <w:t xml:space="preserve"> graduated cylinders </w:t>
      </w:r>
      <w:r>
        <w:rPr>
          <w:rFonts w:asciiTheme="minorHAnsi" w:hAnsiTheme="minorHAnsi" w:cstheme="minorHAnsi"/>
        </w:rPr>
        <w:t>– if needed these may be acid-rinsed.</w:t>
      </w:r>
    </w:p>
    <w:p w14:paraId="51839A83" w14:textId="77777777" w:rsidR="00A91BC6" w:rsidRPr="00A91BC6" w:rsidRDefault="00A91BC6" w:rsidP="008F36DB">
      <w:pPr>
        <w:pStyle w:val="11SOP"/>
        <w:numPr>
          <w:ilvl w:val="0"/>
          <w:numId w:val="16"/>
        </w:numPr>
        <w:spacing w:after="120"/>
        <w:rPr>
          <w:rFonts w:asciiTheme="minorHAnsi" w:hAnsiTheme="minorHAnsi" w:cstheme="minorHAnsi"/>
          <w:szCs w:val="22"/>
        </w:rPr>
      </w:pPr>
      <w:r w:rsidRPr="00A91BC6">
        <w:rPr>
          <w:rFonts w:asciiTheme="minorHAnsi" w:hAnsiTheme="minorHAnsi" w:cstheme="minorHAnsi"/>
          <w:szCs w:val="22"/>
        </w:rPr>
        <w:t>Test tube rack</w:t>
      </w:r>
    </w:p>
    <w:p w14:paraId="40CB85B5" w14:textId="77777777" w:rsidR="00A91BC6" w:rsidRPr="00A91BC6" w:rsidRDefault="00A91BC6" w:rsidP="008F36DB">
      <w:pPr>
        <w:pStyle w:val="11SOP"/>
        <w:numPr>
          <w:ilvl w:val="0"/>
          <w:numId w:val="16"/>
        </w:numPr>
        <w:spacing w:after="120"/>
        <w:rPr>
          <w:rFonts w:asciiTheme="minorHAnsi" w:hAnsiTheme="minorHAnsi" w:cstheme="minorHAnsi"/>
          <w:szCs w:val="22"/>
        </w:rPr>
      </w:pPr>
      <w:bookmarkStart w:id="0" w:name="_Hlk513534823"/>
      <w:r w:rsidRPr="00A91BC6">
        <w:rPr>
          <w:rFonts w:asciiTheme="minorHAnsi" w:hAnsiTheme="minorHAnsi" w:cstheme="minorHAnsi"/>
          <w:szCs w:val="22"/>
        </w:rPr>
        <w:lastRenderedPageBreak/>
        <w:t>pH paper, narrow range (0 – 6.0); used to confirm pH of &lt;2 for preservation</w:t>
      </w:r>
    </w:p>
    <w:p w14:paraId="5AD53CBB" w14:textId="1D3EAC7E" w:rsidR="00A91BC6" w:rsidRDefault="00A91BC6" w:rsidP="008F36DB">
      <w:pPr>
        <w:pStyle w:val="11SOP"/>
        <w:numPr>
          <w:ilvl w:val="0"/>
          <w:numId w:val="16"/>
        </w:numPr>
        <w:spacing w:after="120"/>
        <w:rPr>
          <w:rFonts w:asciiTheme="minorHAnsi" w:hAnsiTheme="minorHAnsi" w:cstheme="minorHAnsi"/>
          <w:szCs w:val="22"/>
        </w:rPr>
      </w:pPr>
      <w:r w:rsidRPr="00A91BC6">
        <w:rPr>
          <w:rFonts w:asciiTheme="minorHAnsi" w:hAnsiTheme="minorHAnsi" w:cstheme="minorHAnsi"/>
          <w:szCs w:val="22"/>
        </w:rPr>
        <w:t>pH paper, narrow range (5.5 – 8.0); used to confirm preserved samples are neutralized to 6.0 to 8.0</w:t>
      </w:r>
      <w:bookmarkEnd w:id="0"/>
    </w:p>
    <w:p w14:paraId="0DE3D073" w14:textId="15A8EF94" w:rsidR="00A91BC6" w:rsidRPr="00A91BC6" w:rsidRDefault="00A91BC6" w:rsidP="008F36DB">
      <w:pPr>
        <w:pStyle w:val="11SOP"/>
        <w:numPr>
          <w:ilvl w:val="0"/>
          <w:numId w:val="16"/>
        </w:numPr>
        <w:spacing w:after="120"/>
        <w:rPr>
          <w:rFonts w:asciiTheme="minorHAnsi" w:hAnsiTheme="minorHAnsi" w:cstheme="minorHAnsi"/>
          <w:szCs w:val="22"/>
        </w:rPr>
      </w:pPr>
      <w:r w:rsidRPr="00A91BC6">
        <w:rPr>
          <w:rFonts w:asciiTheme="minorHAnsi" w:hAnsiTheme="minorHAnsi" w:cstheme="minorHAnsi"/>
        </w:rPr>
        <w:t>Distilled water, ammonia-free</w:t>
      </w:r>
      <w:r w:rsidR="008F36DB">
        <w:rPr>
          <w:rFonts w:asciiTheme="minorHAnsi" w:hAnsiTheme="minorHAnsi" w:cstheme="minorHAnsi"/>
        </w:rPr>
        <w:t xml:space="preserve"> (referred to as distilled or reagent water)</w:t>
      </w:r>
    </w:p>
    <w:p w14:paraId="77C07B0E" w14:textId="19EDF75B" w:rsidR="00A91BC6" w:rsidRPr="00A91BC6" w:rsidRDefault="00A91BC6" w:rsidP="008F36DB">
      <w:pPr>
        <w:pStyle w:val="11SOP"/>
        <w:numPr>
          <w:ilvl w:val="0"/>
          <w:numId w:val="16"/>
        </w:numPr>
        <w:spacing w:after="120"/>
        <w:rPr>
          <w:rFonts w:asciiTheme="minorHAnsi" w:hAnsiTheme="minorHAnsi" w:cstheme="minorHAnsi"/>
          <w:szCs w:val="22"/>
        </w:rPr>
      </w:pPr>
      <w:r w:rsidRPr="00A91BC6">
        <w:rPr>
          <w:rFonts w:asciiTheme="minorHAnsi" w:hAnsiTheme="minorHAnsi" w:cstheme="minorHAnsi"/>
        </w:rPr>
        <w:t xml:space="preserve">Hach Company </w:t>
      </w:r>
      <w:proofErr w:type="spellStart"/>
      <w:r w:rsidRPr="00A91BC6">
        <w:rPr>
          <w:rFonts w:asciiTheme="minorHAnsi" w:hAnsiTheme="minorHAnsi" w:cstheme="minorHAnsi"/>
        </w:rPr>
        <w:t>TNTplus</w:t>
      </w:r>
      <w:r w:rsidRPr="00A91BC6">
        <w:rPr>
          <w:rFonts w:asciiTheme="minorHAnsi" w:hAnsiTheme="minorHAnsi" w:cstheme="minorHAnsi"/>
          <w:vertAlign w:val="superscript"/>
        </w:rPr>
        <w:t>TM</w:t>
      </w:r>
      <w:proofErr w:type="spellEnd"/>
      <w:r w:rsidRPr="00A91BC6">
        <w:rPr>
          <w:rFonts w:asciiTheme="minorHAnsi" w:hAnsiTheme="minorHAnsi" w:cstheme="minorHAnsi"/>
        </w:rPr>
        <w:t xml:space="preserve"> 830 Reagent Set, Cat. No. TNT830</w:t>
      </w:r>
    </w:p>
    <w:p w14:paraId="2AD24C54" w14:textId="55B2E555" w:rsidR="00A91BC6" w:rsidRPr="008F36DB" w:rsidRDefault="00A91BC6" w:rsidP="008F36DB">
      <w:pPr>
        <w:pStyle w:val="11SOP"/>
        <w:numPr>
          <w:ilvl w:val="0"/>
          <w:numId w:val="16"/>
        </w:numPr>
        <w:spacing w:after="120"/>
        <w:rPr>
          <w:rFonts w:asciiTheme="minorHAnsi" w:hAnsiTheme="minorHAnsi" w:cstheme="minorHAnsi"/>
          <w:szCs w:val="22"/>
        </w:rPr>
      </w:pPr>
      <w:r>
        <w:rPr>
          <w:rFonts w:asciiTheme="minorHAnsi" w:hAnsiTheme="minorHAnsi" w:cstheme="minorHAnsi"/>
          <w:szCs w:val="22"/>
        </w:rPr>
        <w:t xml:space="preserve">NH3-N </w:t>
      </w:r>
      <w:r w:rsidRPr="00A91BC6">
        <w:rPr>
          <w:rFonts w:asciiTheme="minorHAnsi" w:hAnsiTheme="minorHAnsi" w:cstheme="minorHAnsi"/>
        </w:rPr>
        <w:t>stock standard</w:t>
      </w:r>
      <w:r w:rsidR="00331A7A">
        <w:rPr>
          <w:rFonts w:asciiTheme="minorHAnsi" w:hAnsiTheme="minorHAnsi" w:cstheme="minorHAnsi"/>
        </w:rPr>
        <w:t xml:space="preserve"> (purchased)</w:t>
      </w:r>
      <w:r w:rsidRPr="00A91BC6">
        <w:rPr>
          <w:rFonts w:asciiTheme="minorHAnsi" w:hAnsiTheme="minorHAnsi" w:cstheme="minorHAnsi"/>
        </w:rPr>
        <w:t>, 100 mg/L NH</w:t>
      </w:r>
      <w:r w:rsidRPr="00A91BC6">
        <w:rPr>
          <w:rFonts w:asciiTheme="minorHAnsi" w:hAnsiTheme="minorHAnsi" w:cstheme="minorHAnsi"/>
          <w:vertAlign w:val="subscript"/>
        </w:rPr>
        <w:t>3</w:t>
      </w:r>
      <w:r w:rsidRPr="00A91BC6">
        <w:rPr>
          <w:rFonts w:asciiTheme="minorHAnsi" w:hAnsiTheme="minorHAnsi" w:cstheme="minorHAnsi"/>
        </w:rPr>
        <w:t>-N.  Store in a ≤ 6ºC refrigerator after opening</w:t>
      </w:r>
      <w:r w:rsidR="008F36DB">
        <w:rPr>
          <w:rFonts w:asciiTheme="minorHAnsi" w:hAnsiTheme="minorHAnsi" w:cstheme="minorHAnsi"/>
        </w:rPr>
        <w:t xml:space="preserve"> when required</w:t>
      </w:r>
      <w:r w:rsidRPr="00A91BC6">
        <w:rPr>
          <w:rFonts w:asciiTheme="minorHAnsi" w:hAnsiTheme="minorHAnsi" w:cstheme="minorHAnsi"/>
        </w:rPr>
        <w:t xml:space="preserve">.  </w:t>
      </w:r>
      <w:r w:rsidR="008F36DB">
        <w:rPr>
          <w:rFonts w:asciiTheme="minorHAnsi" w:hAnsiTheme="minorHAnsi" w:cstheme="minorHAnsi"/>
        </w:rPr>
        <w:t>The expiration date is provided by the vendor.</w:t>
      </w:r>
    </w:p>
    <w:p w14:paraId="511FA3D2" w14:textId="1BFD2B80" w:rsidR="0035060D" w:rsidRDefault="008F36DB" w:rsidP="008F36DB">
      <w:pPr>
        <w:pStyle w:val="11SOP"/>
        <w:numPr>
          <w:ilvl w:val="0"/>
          <w:numId w:val="16"/>
        </w:numPr>
        <w:spacing w:after="120"/>
        <w:rPr>
          <w:rFonts w:asciiTheme="minorHAnsi" w:hAnsiTheme="minorHAnsi" w:cstheme="minorHAnsi"/>
          <w:szCs w:val="22"/>
        </w:rPr>
      </w:pPr>
      <w:r>
        <w:rPr>
          <w:rFonts w:asciiTheme="minorHAnsi" w:hAnsiTheme="minorHAnsi" w:cstheme="minorHAnsi"/>
        </w:rPr>
        <w:t>NH3</w:t>
      </w:r>
      <w:r w:rsidR="00331A7A">
        <w:rPr>
          <w:rFonts w:asciiTheme="minorHAnsi" w:hAnsiTheme="minorHAnsi" w:cstheme="minorHAnsi"/>
        </w:rPr>
        <w:t>-N</w:t>
      </w:r>
      <w:r>
        <w:rPr>
          <w:rFonts w:asciiTheme="minorHAnsi" w:hAnsiTheme="minorHAnsi" w:cstheme="minorHAnsi"/>
        </w:rPr>
        <w:t xml:space="preserve"> </w:t>
      </w:r>
      <w:r w:rsidRPr="008F36DB">
        <w:rPr>
          <w:rFonts w:asciiTheme="minorHAnsi" w:hAnsiTheme="minorHAnsi" w:cstheme="minorHAnsi"/>
          <w:szCs w:val="22"/>
        </w:rPr>
        <w:t>working standard solution</w:t>
      </w:r>
      <w:r w:rsidR="00331A7A">
        <w:rPr>
          <w:rFonts w:asciiTheme="minorHAnsi" w:hAnsiTheme="minorHAnsi" w:cstheme="minorHAnsi"/>
          <w:szCs w:val="22"/>
        </w:rPr>
        <w:t xml:space="preserve"> (prepared)</w:t>
      </w:r>
      <w:r w:rsidRPr="008F36DB">
        <w:rPr>
          <w:rFonts w:asciiTheme="minorHAnsi" w:hAnsiTheme="minorHAnsi" w:cstheme="minorHAnsi"/>
          <w:szCs w:val="22"/>
        </w:rPr>
        <w:t>, 10 mg/L NH</w:t>
      </w:r>
      <w:r w:rsidRPr="008F36DB">
        <w:rPr>
          <w:rFonts w:asciiTheme="minorHAnsi" w:hAnsiTheme="minorHAnsi" w:cstheme="minorHAnsi"/>
          <w:szCs w:val="22"/>
          <w:vertAlign w:val="subscript"/>
        </w:rPr>
        <w:t>3</w:t>
      </w:r>
      <w:r w:rsidR="000512A2">
        <w:rPr>
          <w:rFonts w:asciiTheme="minorHAnsi" w:hAnsiTheme="minorHAnsi" w:cstheme="minorHAnsi"/>
          <w:szCs w:val="22"/>
        </w:rPr>
        <w:t>-N: F</w:t>
      </w:r>
      <w:r w:rsidR="0035060D">
        <w:rPr>
          <w:rFonts w:asciiTheme="minorHAnsi" w:hAnsiTheme="minorHAnsi" w:cstheme="minorHAnsi"/>
          <w:szCs w:val="22"/>
        </w:rPr>
        <w:t>ill a 100mL volumetric flask about ½ full of reagent/distilled water and pipetting in 10 mL of 100 mg/L standard. Fill to the line with reagent water and mix by inverting approximately 7 times. Store this working standard the same way as the stock standard. Replace as needed.</w:t>
      </w:r>
    </w:p>
    <w:p w14:paraId="2E3DB987" w14:textId="566113C6" w:rsidR="00A91BC6" w:rsidRDefault="0035060D" w:rsidP="008210C1">
      <w:pPr>
        <w:pStyle w:val="11SOP"/>
        <w:numPr>
          <w:ilvl w:val="0"/>
          <w:numId w:val="16"/>
        </w:numPr>
        <w:spacing w:after="120"/>
        <w:rPr>
          <w:rFonts w:asciiTheme="minorHAnsi" w:hAnsiTheme="minorHAnsi" w:cstheme="minorHAnsi"/>
          <w:szCs w:val="22"/>
        </w:rPr>
      </w:pPr>
      <w:r>
        <w:rPr>
          <w:rFonts w:asciiTheme="minorHAnsi" w:hAnsiTheme="minorHAnsi" w:cstheme="minorHAnsi"/>
          <w:szCs w:val="22"/>
        </w:rPr>
        <w:t>CCV/LCS</w:t>
      </w:r>
      <w:r w:rsidR="008210C1">
        <w:rPr>
          <w:rFonts w:asciiTheme="minorHAnsi" w:hAnsiTheme="minorHAnsi" w:cstheme="minorHAnsi"/>
          <w:szCs w:val="22"/>
        </w:rPr>
        <w:t xml:space="preserve"> (1 mg/L)</w:t>
      </w:r>
      <w:r>
        <w:rPr>
          <w:rFonts w:asciiTheme="minorHAnsi" w:hAnsiTheme="minorHAnsi" w:cstheme="minorHAnsi"/>
          <w:szCs w:val="22"/>
        </w:rPr>
        <w:t xml:space="preserve"> solution from the working standard </w:t>
      </w:r>
      <w:r w:rsidR="00331A7A">
        <w:rPr>
          <w:rFonts w:asciiTheme="minorHAnsi" w:hAnsiTheme="minorHAnsi" w:cstheme="minorHAnsi"/>
          <w:szCs w:val="22"/>
        </w:rPr>
        <w:t xml:space="preserve">(prepared) </w:t>
      </w:r>
      <w:r>
        <w:rPr>
          <w:rFonts w:asciiTheme="minorHAnsi" w:hAnsiTheme="minorHAnsi" w:cstheme="minorHAnsi"/>
          <w:szCs w:val="22"/>
        </w:rPr>
        <w:t xml:space="preserve">solution: </w:t>
      </w:r>
      <w:r w:rsidRPr="008F36DB">
        <w:rPr>
          <w:rFonts w:asciiTheme="minorHAnsi" w:hAnsiTheme="minorHAnsi" w:cstheme="minorHAnsi"/>
          <w:szCs w:val="22"/>
        </w:rPr>
        <w:t>Prepare by</w:t>
      </w:r>
      <w:r>
        <w:rPr>
          <w:rFonts w:asciiTheme="minorHAnsi" w:hAnsiTheme="minorHAnsi" w:cstheme="minorHAnsi"/>
          <w:szCs w:val="22"/>
        </w:rPr>
        <w:t xml:space="preserve"> pipetting 9 ml of distilled water in a clean beaker and 1ml of the 10</w:t>
      </w:r>
      <w:r w:rsidR="008210C1">
        <w:rPr>
          <w:rFonts w:asciiTheme="minorHAnsi" w:hAnsiTheme="minorHAnsi" w:cstheme="minorHAnsi"/>
          <w:szCs w:val="22"/>
        </w:rPr>
        <w:t xml:space="preserve"> </w:t>
      </w:r>
      <w:r>
        <w:rPr>
          <w:rFonts w:asciiTheme="minorHAnsi" w:hAnsiTheme="minorHAnsi" w:cstheme="minorHAnsi"/>
          <w:szCs w:val="22"/>
        </w:rPr>
        <w:t>mg/L stock standard, swirl well to mix</w:t>
      </w:r>
      <w:r w:rsidR="008210C1">
        <w:rPr>
          <w:rFonts w:asciiTheme="minorHAnsi" w:hAnsiTheme="minorHAnsi" w:cstheme="minorHAnsi"/>
          <w:szCs w:val="22"/>
        </w:rPr>
        <w:t>. Remake this with each batch. If additional volume is desired (make sure to note preparation details in the prepared chemical log): fill a 100mL volumetric flask about ½ full of reagent/distilled water and pipetting in 10 mL of 100 mg/L standard. Fill to the line with reagent water and mix by inverting approximately 7 times. Store this working standard the same way as the stock standard. Replace as needed.</w:t>
      </w:r>
    </w:p>
    <w:p w14:paraId="4033FCFC" w14:textId="62F45666" w:rsidR="003A619C" w:rsidRPr="00FC1430" w:rsidRDefault="000512A2" w:rsidP="00FC1430">
      <w:pPr>
        <w:pStyle w:val="11SOP"/>
        <w:numPr>
          <w:ilvl w:val="0"/>
          <w:numId w:val="16"/>
        </w:numPr>
        <w:spacing w:after="120"/>
        <w:rPr>
          <w:rFonts w:asciiTheme="minorHAnsi" w:hAnsiTheme="minorHAnsi" w:cstheme="minorHAnsi"/>
          <w:szCs w:val="22"/>
        </w:rPr>
      </w:pPr>
      <w:r>
        <w:rPr>
          <w:rFonts w:asciiTheme="minorHAnsi" w:hAnsiTheme="minorHAnsi" w:cstheme="minorHAnsi"/>
          <w:szCs w:val="22"/>
        </w:rPr>
        <w:t xml:space="preserve">Prepare </w:t>
      </w:r>
      <w:r w:rsidRPr="000512A2">
        <w:rPr>
          <w:rFonts w:asciiTheme="minorHAnsi" w:hAnsiTheme="minorHAnsi" w:cstheme="minorHAnsi"/>
        </w:rPr>
        <w:t xml:space="preserve">the calibration standards from the 10 mg/L ammonia working standard.  </w:t>
      </w:r>
      <w:r w:rsidR="00FC1430">
        <w:rPr>
          <w:rFonts w:asciiTheme="minorHAnsi" w:hAnsiTheme="minorHAnsi" w:cstheme="minorHAnsi"/>
          <w:szCs w:val="22"/>
        </w:rPr>
        <w:t xml:space="preserve">Pipet </w:t>
      </w:r>
      <w:r w:rsidR="00FC1430" w:rsidRPr="00FC1430">
        <w:rPr>
          <w:rFonts w:asciiTheme="minorHAnsi" w:hAnsiTheme="minorHAnsi" w:cstheme="minorHAnsi"/>
          <w:szCs w:val="22"/>
        </w:rPr>
        <w:t>both the standard and then the distilled water into the Hach TNT vial:</w:t>
      </w:r>
    </w:p>
    <w:tbl>
      <w:tblPr>
        <w:tblW w:w="11196" w:type="dxa"/>
        <w:tblLook w:val="04A0" w:firstRow="1" w:lastRow="0" w:firstColumn="1" w:lastColumn="0" w:noHBand="0" w:noVBand="1"/>
      </w:tblPr>
      <w:tblGrid>
        <w:gridCol w:w="1595"/>
        <w:gridCol w:w="3325"/>
        <w:gridCol w:w="1580"/>
        <w:gridCol w:w="2400"/>
        <w:gridCol w:w="2260"/>
        <w:gridCol w:w="222"/>
      </w:tblGrid>
      <w:tr w:rsidR="00916938" w14:paraId="35415629" w14:textId="77777777" w:rsidTr="00916938">
        <w:trPr>
          <w:gridAfter w:val="1"/>
          <w:wAfter w:w="36" w:type="dxa"/>
          <w:trHeight w:val="250"/>
        </w:trPr>
        <w:tc>
          <w:tcPr>
            <w:tcW w:w="492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07CE6793" w14:textId="77777777" w:rsidR="00916938" w:rsidRPr="00165657" w:rsidRDefault="00916938">
            <w:pPr>
              <w:jc w:val="right"/>
              <w:rPr>
                <w:rFonts w:asciiTheme="minorHAnsi" w:hAnsiTheme="minorHAnsi" w:cstheme="minorHAnsi"/>
                <w:sz w:val="20"/>
                <w:szCs w:val="20"/>
              </w:rPr>
            </w:pPr>
            <w:r w:rsidRPr="00165657">
              <w:rPr>
                <w:rFonts w:asciiTheme="minorHAnsi" w:hAnsiTheme="minorHAnsi" w:cstheme="minorHAnsi"/>
                <w:sz w:val="20"/>
                <w:szCs w:val="20"/>
              </w:rPr>
              <w:t>Concentration of the working ammonia standard:</w:t>
            </w:r>
          </w:p>
        </w:tc>
        <w:tc>
          <w:tcPr>
            <w:tcW w:w="1580" w:type="dxa"/>
            <w:tcBorders>
              <w:top w:val="single" w:sz="4" w:space="0" w:color="auto"/>
              <w:left w:val="nil"/>
              <w:bottom w:val="single" w:sz="4" w:space="0" w:color="auto"/>
              <w:right w:val="nil"/>
            </w:tcBorders>
            <w:shd w:val="clear" w:color="auto" w:fill="D5DCE4" w:themeFill="text2" w:themeFillTint="33"/>
            <w:noWrap/>
            <w:vAlign w:val="center"/>
            <w:hideMark/>
          </w:tcPr>
          <w:p w14:paraId="14682DAC" w14:textId="77777777" w:rsidR="00916938" w:rsidRPr="00165657" w:rsidRDefault="00916938">
            <w:pPr>
              <w:jc w:val="center"/>
              <w:rPr>
                <w:rFonts w:asciiTheme="minorHAnsi" w:hAnsiTheme="minorHAnsi" w:cstheme="minorHAnsi"/>
                <w:b/>
                <w:bCs/>
                <w:sz w:val="20"/>
                <w:szCs w:val="20"/>
              </w:rPr>
            </w:pPr>
            <w:r w:rsidRPr="00165657">
              <w:rPr>
                <w:rFonts w:asciiTheme="minorHAnsi" w:hAnsiTheme="minorHAnsi" w:cstheme="minorHAnsi"/>
                <w:b/>
                <w:bCs/>
                <w:sz w:val="20"/>
                <w:szCs w:val="20"/>
              </w:rPr>
              <w:t>10</w:t>
            </w:r>
          </w:p>
        </w:tc>
        <w:tc>
          <w:tcPr>
            <w:tcW w:w="240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7BACECF5" w14:textId="77777777" w:rsidR="00916938" w:rsidRPr="00165657" w:rsidRDefault="00916938" w:rsidP="00FC1430">
            <w:pPr>
              <w:jc w:val="center"/>
              <w:rPr>
                <w:rFonts w:asciiTheme="minorHAnsi" w:hAnsiTheme="minorHAnsi" w:cstheme="minorHAnsi"/>
                <w:sz w:val="20"/>
                <w:szCs w:val="20"/>
              </w:rPr>
            </w:pPr>
            <w:r w:rsidRPr="00165657">
              <w:rPr>
                <w:rFonts w:asciiTheme="minorHAnsi" w:hAnsiTheme="minorHAnsi" w:cstheme="minorHAnsi"/>
                <w:sz w:val="20"/>
                <w:szCs w:val="20"/>
              </w:rPr>
              <w:t>mg/L</w:t>
            </w:r>
          </w:p>
        </w:tc>
        <w:tc>
          <w:tcPr>
            <w:tcW w:w="2260" w:type="dxa"/>
            <w:tcBorders>
              <w:top w:val="single" w:sz="4" w:space="0" w:color="auto"/>
              <w:left w:val="nil"/>
              <w:bottom w:val="single" w:sz="4" w:space="0" w:color="auto"/>
              <w:right w:val="single" w:sz="4" w:space="0" w:color="auto"/>
            </w:tcBorders>
            <w:shd w:val="clear" w:color="auto" w:fill="D5DCE4" w:themeFill="text2" w:themeFillTint="33"/>
            <w:noWrap/>
            <w:vAlign w:val="bottom"/>
            <w:hideMark/>
          </w:tcPr>
          <w:p w14:paraId="340B6C2A" w14:textId="0A21D56B" w:rsidR="00916938" w:rsidRPr="00165657" w:rsidRDefault="00916938">
            <w:pPr>
              <w:rPr>
                <w:rFonts w:asciiTheme="minorHAnsi" w:hAnsiTheme="minorHAnsi" w:cstheme="minorHAnsi"/>
                <w:sz w:val="20"/>
                <w:szCs w:val="20"/>
              </w:rPr>
            </w:pPr>
            <w:r w:rsidRPr="00165657">
              <w:rPr>
                <w:rFonts w:asciiTheme="minorHAnsi" w:hAnsiTheme="minorHAnsi" w:cstheme="minorHAnsi"/>
                <w:sz w:val="20"/>
                <w:szCs w:val="20"/>
              </w:rPr>
              <w:t xml:space="preserve">mg/L = ppm </w:t>
            </w:r>
          </w:p>
        </w:tc>
      </w:tr>
      <w:tr w:rsidR="00916938" w14:paraId="06CE10EC" w14:textId="77777777" w:rsidTr="00916938">
        <w:trPr>
          <w:gridAfter w:val="1"/>
          <w:wAfter w:w="36" w:type="dxa"/>
          <w:trHeight w:val="260"/>
        </w:trPr>
        <w:tc>
          <w:tcPr>
            <w:tcW w:w="1595" w:type="dxa"/>
            <w:tcBorders>
              <w:top w:val="nil"/>
              <w:left w:val="nil"/>
              <w:bottom w:val="nil"/>
              <w:right w:val="nil"/>
            </w:tcBorders>
            <w:shd w:val="clear" w:color="auto" w:fill="auto"/>
            <w:noWrap/>
            <w:vAlign w:val="bottom"/>
            <w:hideMark/>
          </w:tcPr>
          <w:p w14:paraId="269320A3" w14:textId="77777777" w:rsidR="00916938" w:rsidRPr="00165657" w:rsidRDefault="00916938">
            <w:pPr>
              <w:rPr>
                <w:rFonts w:asciiTheme="minorHAnsi" w:hAnsiTheme="minorHAnsi" w:cstheme="minorHAnsi"/>
                <w:sz w:val="20"/>
                <w:szCs w:val="20"/>
              </w:rPr>
            </w:pPr>
          </w:p>
        </w:tc>
        <w:tc>
          <w:tcPr>
            <w:tcW w:w="3325" w:type="dxa"/>
            <w:tcBorders>
              <w:top w:val="nil"/>
              <w:left w:val="nil"/>
              <w:bottom w:val="nil"/>
              <w:right w:val="single" w:sz="4" w:space="0" w:color="auto"/>
            </w:tcBorders>
            <w:shd w:val="clear" w:color="auto" w:fill="auto"/>
            <w:noWrap/>
            <w:vAlign w:val="bottom"/>
            <w:hideMark/>
          </w:tcPr>
          <w:p w14:paraId="7557DA77" w14:textId="77777777" w:rsidR="00916938" w:rsidRPr="00165657" w:rsidRDefault="00916938">
            <w:pPr>
              <w:rPr>
                <w:rFonts w:asciiTheme="minorHAnsi" w:hAnsiTheme="minorHAnsi" w:cstheme="minorHAnsi"/>
                <w:sz w:val="20"/>
                <w:szCs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4EB7C" w14:textId="77777777" w:rsidR="00916938" w:rsidRPr="00165657" w:rsidRDefault="00916938">
            <w:pPr>
              <w:jc w:val="center"/>
              <w:rPr>
                <w:rFonts w:asciiTheme="minorHAnsi" w:hAnsiTheme="minorHAnsi" w:cstheme="minorHAnsi"/>
                <w:sz w:val="20"/>
                <w:szCs w:val="20"/>
              </w:rPr>
            </w:pPr>
          </w:p>
        </w:tc>
        <w:tc>
          <w:tcPr>
            <w:tcW w:w="2400" w:type="dxa"/>
            <w:tcBorders>
              <w:top w:val="nil"/>
              <w:left w:val="single" w:sz="4" w:space="0" w:color="auto"/>
              <w:bottom w:val="nil"/>
              <w:right w:val="nil"/>
            </w:tcBorders>
            <w:shd w:val="clear" w:color="auto" w:fill="auto"/>
            <w:noWrap/>
            <w:vAlign w:val="bottom"/>
            <w:hideMark/>
          </w:tcPr>
          <w:p w14:paraId="28AACF63" w14:textId="77777777" w:rsidR="00916938" w:rsidRPr="00165657" w:rsidRDefault="00916938">
            <w:pPr>
              <w:jc w:val="right"/>
              <w:rPr>
                <w:rFonts w:asciiTheme="minorHAnsi" w:hAnsiTheme="minorHAnsi" w:cstheme="minorHAnsi"/>
                <w:sz w:val="20"/>
                <w:szCs w:val="20"/>
              </w:rPr>
            </w:pPr>
          </w:p>
        </w:tc>
        <w:tc>
          <w:tcPr>
            <w:tcW w:w="2260" w:type="dxa"/>
            <w:tcBorders>
              <w:top w:val="nil"/>
              <w:left w:val="nil"/>
              <w:bottom w:val="nil"/>
              <w:right w:val="nil"/>
            </w:tcBorders>
            <w:shd w:val="clear" w:color="auto" w:fill="auto"/>
            <w:noWrap/>
            <w:vAlign w:val="bottom"/>
            <w:hideMark/>
          </w:tcPr>
          <w:p w14:paraId="3BE2CC8D" w14:textId="77777777" w:rsidR="00916938" w:rsidRPr="00165657" w:rsidRDefault="00916938">
            <w:pPr>
              <w:rPr>
                <w:rFonts w:asciiTheme="minorHAnsi" w:hAnsiTheme="minorHAnsi" w:cstheme="minorHAnsi"/>
                <w:sz w:val="20"/>
                <w:szCs w:val="20"/>
              </w:rPr>
            </w:pPr>
          </w:p>
        </w:tc>
      </w:tr>
      <w:tr w:rsidR="00916938" w14:paraId="175ABC25" w14:textId="77777777" w:rsidTr="00916938">
        <w:trPr>
          <w:gridAfter w:val="1"/>
          <w:wAfter w:w="36" w:type="dxa"/>
          <w:trHeight w:val="276"/>
        </w:trPr>
        <w:tc>
          <w:tcPr>
            <w:tcW w:w="159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2A6BDD17" w14:textId="77777777" w:rsidR="00916938" w:rsidRPr="00165657" w:rsidRDefault="00916938">
            <w:pPr>
              <w:jc w:val="center"/>
              <w:rPr>
                <w:rFonts w:asciiTheme="minorHAnsi" w:hAnsiTheme="minorHAnsi" w:cstheme="minorHAnsi"/>
                <w:sz w:val="20"/>
                <w:szCs w:val="20"/>
              </w:rPr>
            </w:pPr>
            <w:r w:rsidRPr="00165657">
              <w:rPr>
                <w:rFonts w:asciiTheme="minorHAnsi" w:hAnsiTheme="minorHAnsi" w:cstheme="minorHAnsi"/>
                <w:sz w:val="20"/>
                <w:szCs w:val="20"/>
              </w:rPr>
              <w:t> </w:t>
            </w:r>
          </w:p>
        </w:tc>
        <w:tc>
          <w:tcPr>
            <w:tcW w:w="332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0D8D68" w14:textId="77777777" w:rsidR="00916938" w:rsidRPr="00165657" w:rsidRDefault="00916938">
            <w:pPr>
              <w:jc w:val="center"/>
              <w:rPr>
                <w:rFonts w:asciiTheme="minorHAnsi" w:hAnsiTheme="minorHAnsi" w:cstheme="minorHAnsi"/>
                <w:sz w:val="20"/>
                <w:szCs w:val="20"/>
              </w:rPr>
            </w:pPr>
            <w:r w:rsidRPr="00165657">
              <w:rPr>
                <w:rFonts w:asciiTheme="minorHAnsi" w:hAnsiTheme="minorHAnsi" w:cstheme="minorHAnsi"/>
                <w:b/>
                <w:bCs/>
                <w:sz w:val="20"/>
                <w:szCs w:val="20"/>
              </w:rPr>
              <w:t>Concentration</w:t>
            </w:r>
            <w:r w:rsidRPr="00165657">
              <w:rPr>
                <w:rFonts w:asciiTheme="minorHAnsi" w:hAnsiTheme="minorHAnsi" w:cstheme="minorHAnsi"/>
                <w:sz w:val="20"/>
                <w:szCs w:val="20"/>
              </w:rPr>
              <w:t xml:space="preserve"> of Standard to prepare (mg/L)</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F67E4A" w14:textId="185DEFE9" w:rsidR="00916938" w:rsidRPr="00165657" w:rsidRDefault="00331A7A" w:rsidP="00331A7A">
            <w:pPr>
              <w:rPr>
                <w:rFonts w:asciiTheme="minorHAnsi" w:hAnsiTheme="minorHAnsi" w:cstheme="minorHAnsi"/>
                <w:sz w:val="20"/>
                <w:szCs w:val="20"/>
              </w:rPr>
            </w:pPr>
            <w:r w:rsidRPr="00165657">
              <w:rPr>
                <w:rFonts w:asciiTheme="minorHAnsi" w:hAnsiTheme="minorHAnsi" w:cstheme="minorHAnsi"/>
                <w:sz w:val="20"/>
                <w:szCs w:val="20"/>
              </w:rPr>
              <w:t xml:space="preserve">Amount of distilled </w:t>
            </w:r>
            <w:r w:rsidRPr="00165657">
              <w:rPr>
                <w:rFonts w:asciiTheme="minorHAnsi" w:hAnsiTheme="minorHAnsi" w:cstheme="minorHAnsi"/>
                <w:b/>
                <w:bCs/>
                <w:sz w:val="20"/>
                <w:szCs w:val="20"/>
              </w:rPr>
              <w:t>water</w:t>
            </w:r>
            <w:r w:rsidRPr="00165657">
              <w:rPr>
                <w:rFonts w:asciiTheme="minorHAnsi" w:hAnsiTheme="minorHAnsi" w:cstheme="minorHAnsi"/>
                <w:sz w:val="20"/>
                <w:szCs w:val="20"/>
              </w:rPr>
              <w:t xml:space="preserve"> </w:t>
            </w:r>
            <w:r w:rsidR="00916938" w:rsidRPr="00165657">
              <w:rPr>
                <w:rFonts w:asciiTheme="minorHAnsi" w:hAnsiTheme="minorHAnsi" w:cstheme="minorHAnsi"/>
                <w:sz w:val="20"/>
                <w:szCs w:val="20"/>
              </w:rPr>
              <w:t>volume</w:t>
            </w:r>
            <w:r w:rsidRPr="00165657">
              <w:rPr>
                <w:rFonts w:asciiTheme="minorHAnsi" w:hAnsiTheme="minorHAnsi" w:cstheme="minorHAnsi"/>
                <w:sz w:val="20"/>
                <w:szCs w:val="20"/>
              </w:rPr>
              <w:t xml:space="preserve"> </w:t>
            </w:r>
            <w:r w:rsidR="00916938" w:rsidRPr="00165657">
              <w:rPr>
                <w:rFonts w:asciiTheme="minorHAnsi" w:hAnsiTheme="minorHAnsi" w:cstheme="minorHAnsi"/>
                <w:sz w:val="20"/>
                <w:szCs w:val="20"/>
              </w:rPr>
              <w:t>(mL)</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579680" w14:textId="6E179FD7" w:rsidR="00916938" w:rsidRPr="00165657" w:rsidRDefault="00916938">
            <w:pPr>
              <w:jc w:val="center"/>
              <w:rPr>
                <w:rFonts w:asciiTheme="minorHAnsi" w:hAnsiTheme="minorHAnsi" w:cstheme="minorHAnsi"/>
                <w:sz w:val="20"/>
                <w:szCs w:val="20"/>
              </w:rPr>
            </w:pPr>
            <w:r w:rsidRPr="00165657">
              <w:rPr>
                <w:rFonts w:asciiTheme="minorHAnsi" w:hAnsiTheme="minorHAnsi" w:cstheme="minorHAnsi"/>
                <w:sz w:val="20"/>
                <w:szCs w:val="20"/>
              </w:rPr>
              <w:t xml:space="preserve">Amount of stock </w:t>
            </w:r>
            <w:r w:rsidRPr="00165657">
              <w:rPr>
                <w:rFonts w:asciiTheme="minorHAnsi" w:hAnsiTheme="minorHAnsi" w:cstheme="minorHAnsi"/>
                <w:b/>
                <w:bCs/>
                <w:sz w:val="20"/>
                <w:szCs w:val="20"/>
              </w:rPr>
              <w:t xml:space="preserve">standard </w:t>
            </w:r>
            <w:r w:rsidRPr="00165657">
              <w:rPr>
                <w:rFonts w:asciiTheme="minorHAnsi" w:hAnsiTheme="minorHAnsi" w:cstheme="minorHAnsi"/>
                <w:sz w:val="20"/>
                <w:szCs w:val="20"/>
              </w:rPr>
              <w:t>to pipet (mL)</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35A07E" w14:textId="7CF1A613" w:rsidR="00916938" w:rsidRPr="00165657" w:rsidRDefault="00331A7A">
            <w:pPr>
              <w:jc w:val="center"/>
              <w:rPr>
                <w:rFonts w:asciiTheme="minorHAnsi" w:hAnsiTheme="minorHAnsi" w:cstheme="minorHAnsi"/>
                <w:sz w:val="20"/>
                <w:szCs w:val="20"/>
              </w:rPr>
            </w:pPr>
            <w:r w:rsidRPr="00165657">
              <w:rPr>
                <w:rFonts w:asciiTheme="minorHAnsi" w:hAnsiTheme="minorHAnsi" w:cstheme="minorHAnsi"/>
                <w:sz w:val="20"/>
                <w:szCs w:val="20"/>
              </w:rPr>
              <w:t>Final volume (mL)</w:t>
            </w:r>
            <w:r w:rsidR="002A059C" w:rsidRPr="00165657">
              <w:rPr>
                <w:rFonts w:asciiTheme="minorHAnsi" w:hAnsiTheme="minorHAnsi" w:cstheme="minorHAnsi"/>
                <w:sz w:val="20"/>
                <w:szCs w:val="20"/>
              </w:rPr>
              <w:t xml:space="preserve"> </w:t>
            </w:r>
            <w:r w:rsidR="00916938" w:rsidRPr="00165657">
              <w:rPr>
                <w:rFonts w:asciiTheme="minorHAnsi" w:hAnsiTheme="minorHAnsi" w:cstheme="minorHAnsi"/>
                <w:sz w:val="20"/>
                <w:szCs w:val="20"/>
              </w:rPr>
              <w:t xml:space="preserve"> </w:t>
            </w:r>
          </w:p>
        </w:tc>
      </w:tr>
      <w:tr w:rsidR="00916938" w14:paraId="1BF1F095" w14:textId="77777777" w:rsidTr="00916938">
        <w:trPr>
          <w:trHeight w:val="250"/>
        </w:trPr>
        <w:tc>
          <w:tcPr>
            <w:tcW w:w="1595"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F09E07" w14:textId="77777777" w:rsidR="00916938" w:rsidRPr="00165657" w:rsidRDefault="00916938">
            <w:pPr>
              <w:rPr>
                <w:rFonts w:asciiTheme="minorHAnsi" w:hAnsiTheme="minorHAnsi" w:cstheme="minorHAnsi"/>
                <w:sz w:val="20"/>
                <w:szCs w:val="20"/>
              </w:rPr>
            </w:pPr>
          </w:p>
        </w:tc>
        <w:tc>
          <w:tcPr>
            <w:tcW w:w="3325"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EB2A11" w14:textId="77777777" w:rsidR="00916938" w:rsidRPr="00165657" w:rsidRDefault="00916938">
            <w:pPr>
              <w:rPr>
                <w:rFonts w:asciiTheme="minorHAnsi" w:hAnsiTheme="minorHAnsi" w:cstheme="minorHAnsi"/>
                <w:b/>
                <w:bCs/>
                <w:sz w:val="20"/>
                <w:szCs w:val="20"/>
              </w:rPr>
            </w:pPr>
          </w:p>
        </w:tc>
        <w:tc>
          <w:tcPr>
            <w:tcW w:w="1580"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B99881" w14:textId="77777777" w:rsidR="00916938" w:rsidRPr="00165657" w:rsidRDefault="00916938">
            <w:pPr>
              <w:rPr>
                <w:rFonts w:asciiTheme="minorHAnsi" w:hAnsiTheme="minorHAnsi" w:cstheme="minorHAnsi"/>
                <w:b/>
                <w:bCs/>
                <w:sz w:val="20"/>
                <w:szCs w:val="20"/>
              </w:rPr>
            </w:pPr>
          </w:p>
        </w:tc>
        <w:tc>
          <w:tcPr>
            <w:tcW w:w="2400"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1C6DE5" w14:textId="77777777" w:rsidR="00916938" w:rsidRPr="00165657" w:rsidRDefault="00916938">
            <w:pPr>
              <w:rPr>
                <w:rFonts w:asciiTheme="minorHAnsi" w:hAnsiTheme="minorHAnsi" w:cstheme="minorHAnsi"/>
                <w:b/>
                <w:bCs/>
                <w:sz w:val="20"/>
                <w:szCs w:val="20"/>
              </w:rPr>
            </w:pPr>
          </w:p>
        </w:tc>
        <w:tc>
          <w:tcPr>
            <w:tcW w:w="2260"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B0CCA7" w14:textId="77777777" w:rsidR="00916938" w:rsidRPr="00165657" w:rsidRDefault="00916938">
            <w:pPr>
              <w:rPr>
                <w:rFonts w:asciiTheme="minorHAnsi" w:hAnsiTheme="minorHAnsi" w:cstheme="minorHAnsi"/>
                <w:b/>
                <w:bCs/>
                <w:sz w:val="20"/>
                <w:szCs w:val="20"/>
              </w:rPr>
            </w:pPr>
          </w:p>
        </w:tc>
        <w:tc>
          <w:tcPr>
            <w:tcW w:w="36" w:type="dxa"/>
            <w:tcBorders>
              <w:top w:val="nil"/>
              <w:left w:val="nil"/>
              <w:bottom w:val="nil"/>
              <w:right w:val="nil"/>
            </w:tcBorders>
            <w:shd w:val="clear" w:color="auto" w:fill="auto"/>
            <w:noWrap/>
            <w:vAlign w:val="bottom"/>
            <w:hideMark/>
          </w:tcPr>
          <w:p w14:paraId="0CA7C9B6" w14:textId="77777777" w:rsidR="00916938" w:rsidRDefault="00916938">
            <w:pPr>
              <w:jc w:val="center"/>
              <w:rPr>
                <w:rFonts w:ascii="Arial" w:hAnsi="Arial" w:cs="Arial"/>
                <w:b/>
                <w:bCs/>
                <w:sz w:val="20"/>
                <w:szCs w:val="20"/>
              </w:rPr>
            </w:pPr>
          </w:p>
        </w:tc>
      </w:tr>
      <w:tr w:rsidR="00916938" w14:paraId="21E7A742" w14:textId="77777777" w:rsidTr="00916938">
        <w:trPr>
          <w:trHeight w:val="250"/>
        </w:trPr>
        <w:tc>
          <w:tcPr>
            <w:tcW w:w="159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2BA75713" w14:textId="77777777" w:rsidR="00916938" w:rsidRPr="00165657" w:rsidRDefault="00916938">
            <w:pPr>
              <w:jc w:val="center"/>
              <w:rPr>
                <w:rFonts w:asciiTheme="minorHAnsi" w:hAnsiTheme="minorHAnsi" w:cstheme="minorHAnsi"/>
                <w:sz w:val="20"/>
                <w:szCs w:val="20"/>
              </w:rPr>
            </w:pPr>
            <w:r w:rsidRPr="00165657">
              <w:rPr>
                <w:rFonts w:asciiTheme="minorHAnsi" w:hAnsiTheme="minorHAnsi" w:cstheme="minorHAnsi"/>
                <w:sz w:val="20"/>
                <w:szCs w:val="20"/>
              </w:rPr>
              <w:t>Standard 1</w:t>
            </w:r>
          </w:p>
        </w:tc>
        <w:tc>
          <w:tcPr>
            <w:tcW w:w="3325" w:type="dxa"/>
            <w:tcBorders>
              <w:top w:val="nil"/>
              <w:left w:val="nil"/>
              <w:bottom w:val="single" w:sz="4" w:space="0" w:color="auto"/>
              <w:right w:val="single" w:sz="4" w:space="0" w:color="auto"/>
            </w:tcBorders>
            <w:shd w:val="clear" w:color="auto" w:fill="auto"/>
            <w:noWrap/>
            <w:vAlign w:val="center"/>
            <w:hideMark/>
          </w:tcPr>
          <w:p w14:paraId="4DC450AA" w14:textId="501FC6BA" w:rsidR="00916938" w:rsidRPr="00165657" w:rsidRDefault="00916938">
            <w:pPr>
              <w:jc w:val="center"/>
              <w:rPr>
                <w:rFonts w:asciiTheme="minorHAnsi" w:hAnsiTheme="minorHAnsi" w:cstheme="minorHAnsi"/>
                <w:sz w:val="20"/>
                <w:szCs w:val="20"/>
              </w:rPr>
            </w:pPr>
            <w:r w:rsidRPr="00165657">
              <w:rPr>
                <w:rFonts w:asciiTheme="minorHAnsi" w:hAnsiTheme="minorHAnsi" w:cstheme="minorHAnsi"/>
                <w:b/>
                <w:bCs/>
                <w:sz w:val="20"/>
                <w:szCs w:val="20"/>
              </w:rPr>
              <w:t>0.2</w:t>
            </w:r>
            <w:r w:rsidR="002A059C" w:rsidRPr="00165657">
              <w:rPr>
                <w:rFonts w:asciiTheme="minorHAnsi" w:hAnsiTheme="minorHAnsi" w:cstheme="minorHAnsi"/>
                <w:b/>
                <w:bCs/>
                <w:sz w:val="20"/>
                <w:szCs w:val="20"/>
              </w:rPr>
              <w:t>0</w:t>
            </w:r>
            <w:r w:rsidR="00331A7A" w:rsidRPr="00165657">
              <w:rPr>
                <w:rFonts w:asciiTheme="minorHAnsi" w:hAnsiTheme="minorHAnsi" w:cstheme="minorHAnsi"/>
                <w:sz w:val="20"/>
                <w:szCs w:val="20"/>
              </w:rPr>
              <w:t xml:space="preserve"> mg/L</w:t>
            </w:r>
          </w:p>
        </w:tc>
        <w:tc>
          <w:tcPr>
            <w:tcW w:w="1580" w:type="dxa"/>
            <w:tcBorders>
              <w:top w:val="nil"/>
              <w:left w:val="nil"/>
              <w:bottom w:val="single" w:sz="4" w:space="0" w:color="auto"/>
              <w:right w:val="single" w:sz="4" w:space="0" w:color="auto"/>
            </w:tcBorders>
            <w:shd w:val="clear" w:color="auto" w:fill="auto"/>
            <w:noWrap/>
            <w:vAlign w:val="center"/>
            <w:hideMark/>
          </w:tcPr>
          <w:p w14:paraId="7F575EA6" w14:textId="5F9942E0" w:rsidR="00916938" w:rsidRPr="00165657" w:rsidRDefault="00331A7A">
            <w:pPr>
              <w:jc w:val="center"/>
              <w:rPr>
                <w:rFonts w:asciiTheme="minorHAnsi" w:hAnsiTheme="minorHAnsi" w:cstheme="minorHAnsi"/>
                <w:sz w:val="20"/>
                <w:szCs w:val="20"/>
              </w:rPr>
            </w:pPr>
            <w:r w:rsidRPr="00165657">
              <w:rPr>
                <w:rFonts w:asciiTheme="minorHAnsi" w:hAnsiTheme="minorHAnsi" w:cstheme="minorHAnsi"/>
                <w:sz w:val="20"/>
                <w:szCs w:val="20"/>
              </w:rPr>
              <w:t xml:space="preserve">4.9 </w:t>
            </w:r>
          </w:p>
        </w:tc>
        <w:tc>
          <w:tcPr>
            <w:tcW w:w="2400" w:type="dxa"/>
            <w:tcBorders>
              <w:top w:val="nil"/>
              <w:left w:val="nil"/>
              <w:bottom w:val="single" w:sz="4" w:space="0" w:color="auto"/>
              <w:right w:val="single" w:sz="4" w:space="0" w:color="auto"/>
            </w:tcBorders>
            <w:shd w:val="clear" w:color="auto" w:fill="auto"/>
            <w:noWrap/>
            <w:vAlign w:val="center"/>
            <w:hideMark/>
          </w:tcPr>
          <w:p w14:paraId="55D6FECA" w14:textId="293864B9" w:rsidR="00916938" w:rsidRPr="00165657" w:rsidRDefault="00916938">
            <w:pPr>
              <w:jc w:val="center"/>
              <w:rPr>
                <w:rFonts w:asciiTheme="minorHAnsi" w:hAnsiTheme="minorHAnsi" w:cstheme="minorHAnsi"/>
                <w:sz w:val="20"/>
                <w:szCs w:val="20"/>
              </w:rPr>
            </w:pPr>
            <w:r w:rsidRPr="00165657">
              <w:rPr>
                <w:rFonts w:asciiTheme="minorHAnsi" w:hAnsiTheme="minorHAnsi" w:cstheme="minorHAnsi"/>
                <w:sz w:val="20"/>
                <w:szCs w:val="20"/>
              </w:rPr>
              <w:t>0.1</w:t>
            </w:r>
            <w:r w:rsidR="00331A7A" w:rsidRPr="00165657">
              <w:rPr>
                <w:rFonts w:asciiTheme="minorHAnsi" w:hAnsiTheme="minorHAnsi" w:cstheme="minorHAnsi"/>
                <w:sz w:val="20"/>
                <w:szCs w:val="20"/>
              </w:rPr>
              <w:t xml:space="preserve"> mL</w:t>
            </w:r>
          </w:p>
        </w:tc>
        <w:tc>
          <w:tcPr>
            <w:tcW w:w="2260" w:type="dxa"/>
            <w:tcBorders>
              <w:top w:val="nil"/>
              <w:left w:val="nil"/>
              <w:bottom w:val="single" w:sz="4" w:space="0" w:color="auto"/>
              <w:right w:val="single" w:sz="4" w:space="0" w:color="auto"/>
            </w:tcBorders>
            <w:shd w:val="clear" w:color="auto" w:fill="auto"/>
            <w:noWrap/>
            <w:vAlign w:val="center"/>
            <w:hideMark/>
          </w:tcPr>
          <w:p w14:paraId="33F96838" w14:textId="4A139E6D" w:rsidR="00916938" w:rsidRPr="00165657" w:rsidRDefault="00930F1C">
            <w:pPr>
              <w:jc w:val="center"/>
              <w:rPr>
                <w:rFonts w:asciiTheme="minorHAnsi" w:hAnsiTheme="minorHAnsi" w:cstheme="minorHAnsi"/>
                <w:sz w:val="20"/>
                <w:szCs w:val="20"/>
              </w:rPr>
            </w:pPr>
            <w:r>
              <w:rPr>
                <w:rFonts w:asciiTheme="minorHAnsi" w:hAnsiTheme="minorHAnsi" w:cstheme="minorHAnsi"/>
                <w:sz w:val="20"/>
                <w:szCs w:val="20"/>
              </w:rPr>
              <w:t>5</w:t>
            </w:r>
          </w:p>
        </w:tc>
        <w:tc>
          <w:tcPr>
            <w:tcW w:w="36" w:type="dxa"/>
            <w:vAlign w:val="center"/>
            <w:hideMark/>
          </w:tcPr>
          <w:p w14:paraId="02200836" w14:textId="77777777" w:rsidR="00916938" w:rsidRDefault="00916938">
            <w:pPr>
              <w:rPr>
                <w:sz w:val="20"/>
                <w:szCs w:val="20"/>
              </w:rPr>
            </w:pPr>
          </w:p>
        </w:tc>
      </w:tr>
      <w:tr w:rsidR="00916938" w14:paraId="052BC8CF" w14:textId="77777777" w:rsidTr="00916938">
        <w:trPr>
          <w:trHeight w:val="250"/>
        </w:trPr>
        <w:tc>
          <w:tcPr>
            <w:tcW w:w="159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4F0845D3" w14:textId="77777777" w:rsidR="00916938" w:rsidRPr="00165657" w:rsidRDefault="00916938">
            <w:pPr>
              <w:jc w:val="center"/>
              <w:rPr>
                <w:rFonts w:asciiTheme="minorHAnsi" w:hAnsiTheme="minorHAnsi" w:cstheme="minorHAnsi"/>
                <w:sz w:val="20"/>
                <w:szCs w:val="20"/>
              </w:rPr>
            </w:pPr>
            <w:r w:rsidRPr="00165657">
              <w:rPr>
                <w:rFonts w:asciiTheme="minorHAnsi" w:hAnsiTheme="minorHAnsi" w:cstheme="minorHAnsi"/>
                <w:sz w:val="20"/>
                <w:szCs w:val="20"/>
              </w:rPr>
              <w:t>Standard 2</w:t>
            </w:r>
          </w:p>
        </w:tc>
        <w:tc>
          <w:tcPr>
            <w:tcW w:w="3325" w:type="dxa"/>
            <w:tcBorders>
              <w:top w:val="nil"/>
              <w:left w:val="nil"/>
              <w:bottom w:val="single" w:sz="4" w:space="0" w:color="auto"/>
              <w:right w:val="single" w:sz="4" w:space="0" w:color="auto"/>
            </w:tcBorders>
            <w:shd w:val="clear" w:color="auto" w:fill="auto"/>
            <w:noWrap/>
            <w:vAlign w:val="center"/>
            <w:hideMark/>
          </w:tcPr>
          <w:p w14:paraId="0B6B9F00" w14:textId="076F33B8" w:rsidR="00916938" w:rsidRPr="00165657" w:rsidRDefault="00916938">
            <w:pPr>
              <w:jc w:val="center"/>
              <w:rPr>
                <w:rFonts w:asciiTheme="minorHAnsi" w:hAnsiTheme="minorHAnsi" w:cstheme="minorHAnsi"/>
                <w:b/>
                <w:bCs/>
                <w:sz w:val="20"/>
                <w:szCs w:val="20"/>
              </w:rPr>
            </w:pPr>
            <w:r w:rsidRPr="00165657">
              <w:rPr>
                <w:rFonts w:asciiTheme="minorHAnsi" w:hAnsiTheme="minorHAnsi" w:cstheme="minorHAnsi"/>
                <w:b/>
                <w:bCs/>
                <w:sz w:val="20"/>
                <w:szCs w:val="20"/>
              </w:rPr>
              <w:t>0.4</w:t>
            </w:r>
            <w:r w:rsidR="002A059C" w:rsidRPr="00165657">
              <w:rPr>
                <w:rFonts w:asciiTheme="minorHAnsi" w:hAnsiTheme="minorHAnsi" w:cstheme="minorHAnsi"/>
                <w:b/>
                <w:bCs/>
                <w:sz w:val="20"/>
                <w:szCs w:val="20"/>
              </w:rPr>
              <w:t>0</w:t>
            </w:r>
          </w:p>
        </w:tc>
        <w:tc>
          <w:tcPr>
            <w:tcW w:w="1580" w:type="dxa"/>
            <w:tcBorders>
              <w:top w:val="nil"/>
              <w:left w:val="nil"/>
              <w:bottom w:val="single" w:sz="4" w:space="0" w:color="auto"/>
              <w:right w:val="single" w:sz="4" w:space="0" w:color="auto"/>
            </w:tcBorders>
            <w:shd w:val="clear" w:color="auto" w:fill="auto"/>
            <w:noWrap/>
            <w:vAlign w:val="center"/>
            <w:hideMark/>
          </w:tcPr>
          <w:p w14:paraId="3ABF7354" w14:textId="6BA9AFCA" w:rsidR="00916938" w:rsidRPr="00165657" w:rsidRDefault="00331A7A">
            <w:pPr>
              <w:jc w:val="center"/>
              <w:rPr>
                <w:rFonts w:asciiTheme="minorHAnsi" w:hAnsiTheme="minorHAnsi" w:cstheme="minorHAnsi"/>
                <w:sz w:val="20"/>
                <w:szCs w:val="20"/>
              </w:rPr>
            </w:pPr>
            <w:r w:rsidRPr="00165657">
              <w:rPr>
                <w:rFonts w:asciiTheme="minorHAnsi" w:hAnsiTheme="minorHAnsi" w:cstheme="minorHAnsi"/>
                <w:sz w:val="20"/>
                <w:szCs w:val="20"/>
              </w:rPr>
              <w:t>4.8</w:t>
            </w:r>
          </w:p>
        </w:tc>
        <w:tc>
          <w:tcPr>
            <w:tcW w:w="2400" w:type="dxa"/>
            <w:tcBorders>
              <w:top w:val="nil"/>
              <w:left w:val="nil"/>
              <w:bottom w:val="single" w:sz="4" w:space="0" w:color="auto"/>
              <w:right w:val="single" w:sz="4" w:space="0" w:color="auto"/>
            </w:tcBorders>
            <w:shd w:val="clear" w:color="auto" w:fill="auto"/>
            <w:noWrap/>
            <w:vAlign w:val="center"/>
            <w:hideMark/>
          </w:tcPr>
          <w:p w14:paraId="5DB83D6C" w14:textId="10E7E0A8" w:rsidR="00916938" w:rsidRPr="00165657" w:rsidRDefault="00916938">
            <w:pPr>
              <w:jc w:val="center"/>
              <w:rPr>
                <w:rFonts w:asciiTheme="minorHAnsi" w:hAnsiTheme="minorHAnsi" w:cstheme="minorHAnsi"/>
                <w:sz w:val="20"/>
                <w:szCs w:val="20"/>
              </w:rPr>
            </w:pPr>
            <w:r w:rsidRPr="00165657">
              <w:rPr>
                <w:rFonts w:asciiTheme="minorHAnsi" w:hAnsiTheme="minorHAnsi" w:cstheme="minorHAnsi"/>
                <w:sz w:val="20"/>
                <w:szCs w:val="20"/>
              </w:rPr>
              <w:t>0.2</w:t>
            </w:r>
          </w:p>
        </w:tc>
        <w:tc>
          <w:tcPr>
            <w:tcW w:w="2260" w:type="dxa"/>
            <w:tcBorders>
              <w:top w:val="nil"/>
              <w:left w:val="nil"/>
              <w:bottom w:val="single" w:sz="4" w:space="0" w:color="auto"/>
              <w:right w:val="single" w:sz="4" w:space="0" w:color="auto"/>
            </w:tcBorders>
            <w:shd w:val="clear" w:color="auto" w:fill="auto"/>
            <w:noWrap/>
            <w:vAlign w:val="center"/>
            <w:hideMark/>
          </w:tcPr>
          <w:p w14:paraId="00194542" w14:textId="1B5375AF" w:rsidR="00916938" w:rsidRPr="00165657" w:rsidRDefault="00930F1C">
            <w:pPr>
              <w:jc w:val="center"/>
              <w:rPr>
                <w:rFonts w:asciiTheme="minorHAnsi" w:hAnsiTheme="minorHAnsi" w:cstheme="minorHAnsi"/>
                <w:sz w:val="20"/>
                <w:szCs w:val="20"/>
              </w:rPr>
            </w:pPr>
            <w:r>
              <w:rPr>
                <w:rFonts w:asciiTheme="minorHAnsi" w:hAnsiTheme="minorHAnsi" w:cstheme="minorHAnsi"/>
                <w:sz w:val="20"/>
                <w:szCs w:val="20"/>
              </w:rPr>
              <w:t>5</w:t>
            </w:r>
          </w:p>
        </w:tc>
        <w:tc>
          <w:tcPr>
            <w:tcW w:w="36" w:type="dxa"/>
            <w:vAlign w:val="center"/>
            <w:hideMark/>
          </w:tcPr>
          <w:p w14:paraId="6482B377" w14:textId="77777777" w:rsidR="00916938" w:rsidRDefault="00916938">
            <w:pPr>
              <w:rPr>
                <w:sz w:val="20"/>
                <w:szCs w:val="20"/>
              </w:rPr>
            </w:pPr>
          </w:p>
        </w:tc>
      </w:tr>
      <w:tr w:rsidR="00916938" w14:paraId="0365FD4B" w14:textId="77777777" w:rsidTr="00916938">
        <w:trPr>
          <w:trHeight w:val="250"/>
        </w:trPr>
        <w:tc>
          <w:tcPr>
            <w:tcW w:w="159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7BC34F83" w14:textId="77777777" w:rsidR="00916938" w:rsidRPr="00165657" w:rsidRDefault="00916938">
            <w:pPr>
              <w:jc w:val="center"/>
              <w:rPr>
                <w:rFonts w:asciiTheme="minorHAnsi" w:hAnsiTheme="minorHAnsi" w:cstheme="minorHAnsi"/>
                <w:sz w:val="20"/>
                <w:szCs w:val="20"/>
              </w:rPr>
            </w:pPr>
            <w:r w:rsidRPr="00165657">
              <w:rPr>
                <w:rFonts w:asciiTheme="minorHAnsi" w:hAnsiTheme="minorHAnsi" w:cstheme="minorHAnsi"/>
                <w:sz w:val="20"/>
                <w:szCs w:val="20"/>
              </w:rPr>
              <w:t>Standard 3</w:t>
            </w:r>
          </w:p>
        </w:tc>
        <w:tc>
          <w:tcPr>
            <w:tcW w:w="3325" w:type="dxa"/>
            <w:tcBorders>
              <w:top w:val="nil"/>
              <w:left w:val="nil"/>
              <w:bottom w:val="single" w:sz="4" w:space="0" w:color="auto"/>
              <w:right w:val="single" w:sz="4" w:space="0" w:color="auto"/>
            </w:tcBorders>
            <w:shd w:val="clear" w:color="auto" w:fill="auto"/>
            <w:noWrap/>
            <w:vAlign w:val="center"/>
            <w:hideMark/>
          </w:tcPr>
          <w:p w14:paraId="0ECE5C23" w14:textId="77777777" w:rsidR="00916938" w:rsidRPr="00165657" w:rsidRDefault="00916938">
            <w:pPr>
              <w:jc w:val="center"/>
              <w:rPr>
                <w:rFonts w:asciiTheme="minorHAnsi" w:hAnsiTheme="minorHAnsi" w:cstheme="minorHAnsi"/>
                <w:b/>
                <w:bCs/>
                <w:sz w:val="20"/>
                <w:szCs w:val="20"/>
              </w:rPr>
            </w:pPr>
            <w:r w:rsidRPr="00165657">
              <w:rPr>
                <w:rFonts w:asciiTheme="minorHAnsi" w:hAnsiTheme="minorHAnsi" w:cstheme="minorHAnsi"/>
                <w:b/>
                <w:bCs/>
                <w:sz w:val="20"/>
                <w:szCs w:val="20"/>
              </w:rPr>
              <w:t>1.00</w:t>
            </w:r>
          </w:p>
        </w:tc>
        <w:tc>
          <w:tcPr>
            <w:tcW w:w="1580" w:type="dxa"/>
            <w:tcBorders>
              <w:top w:val="nil"/>
              <w:left w:val="nil"/>
              <w:bottom w:val="single" w:sz="4" w:space="0" w:color="auto"/>
              <w:right w:val="single" w:sz="4" w:space="0" w:color="auto"/>
            </w:tcBorders>
            <w:shd w:val="clear" w:color="auto" w:fill="auto"/>
            <w:noWrap/>
            <w:vAlign w:val="center"/>
            <w:hideMark/>
          </w:tcPr>
          <w:p w14:paraId="1DB174D2" w14:textId="446BA104" w:rsidR="00916938" w:rsidRPr="00165657" w:rsidRDefault="00331A7A">
            <w:pPr>
              <w:jc w:val="center"/>
              <w:rPr>
                <w:rFonts w:asciiTheme="minorHAnsi" w:hAnsiTheme="minorHAnsi" w:cstheme="minorHAnsi"/>
                <w:sz w:val="20"/>
                <w:szCs w:val="20"/>
              </w:rPr>
            </w:pPr>
            <w:r w:rsidRPr="00165657">
              <w:rPr>
                <w:rFonts w:asciiTheme="minorHAnsi" w:hAnsiTheme="minorHAnsi" w:cstheme="minorHAnsi"/>
                <w:sz w:val="20"/>
                <w:szCs w:val="20"/>
              </w:rPr>
              <w:t>4.</w:t>
            </w:r>
            <w:r w:rsidR="00916938" w:rsidRPr="00165657">
              <w:rPr>
                <w:rFonts w:asciiTheme="minorHAnsi" w:hAnsiTheme="minorHAnsi" w:cstheme="minorHAnsi"/>
                <w:sz w:val="20"/>
                <w:szCs w:val="20"/>
              </w:rPr>
              <w:t>5</w:t>
            </w:r>
          </w:p>
        </w:tc>
        <w:tc>
          <w:tcPr>
            <w:tcW w:w="2400" w:type="dxa"/>
            <w:tcBorders>
              <w:top w:val="nil"/>
              <w:left w:val="nil"/>
              <w:bottom w:val="single" w:sz="4" w:space="0" w:color="auto"/>
              <w:right w:val="single" w:sz="4" w:space="0" w:color="auto"/>
            </w:tcBorders>
            <w:shd w:val="clear" w:color="auto" w:fill="auto"/>
            <w:noWrap/>
            <w:vAlign w:val="center"/>
            <w:hideMark/>
          </w:tcPr>
          <w:p w14:paraId="3BDB686B" w14:textId="2AA23FFC" w:rsidR="00916938" w:rsidRPr="00165657" w:rsidRDefault="00916938">
            <w:pPr>
              <w:jc w:val="center"/>
              <w:rPr>
                <w:rFonts w:asciiTheme="minorHAnsi" w:hAnsiTheme="minorHAnsi" w:cstheme="minorHAnsi"/>
                <w:sz w:val="20"/>
                <w:szCs w:val="20"/>
              </w:rPr>
            </w:pPr>
            <w:r w:rsidRPr="00165657">
              <w:rPr>
                <w:rFonts w:asciiTheme="minorHAnsi" w:hAnsiTheme="minorHAnsi" w:cstheme="minorHAnsi"/>
                <w:sz w:val="20"/>
                <w:szCs w:val="20"/>
              </w:rPr>
              <w:t>0.5</w:t>
            </w:r>
          </w:p>
        </w:tc>
        <w:tc>
          <w:tcPr>
            <w:tcW w:w="2260" w:type="dxa"/>
            <w:tcBorders>
              <w:top w:val="nil"/>
              <w:left w:val="nil"/>
              <w:bottom w:val="single" w:sz="4" w:space="0" w:color="auto"/>
              <w:right w:val="single" w:sz="4" w:space="0" w:color="auto"/>
            </w:tcBorders>
            <w:shd w:val="clear" w:color="auto" w:fill="auto"/>
            <w:noWrap/>
            <w:vAlign w:val="center"/>
            <w:hideMark/>
          </w:tcPr>
          <w:p w14:paraId="6B419953" w14:textId="1F0BDA95" w:rsidR="00916938" w:rsidRPr="00165657" w:rsidRDefault="00930F1C">
            <w:pPr>
              <w:jc w:val="center"/>
              <w:rPr>
                <w:rFonts w:asciiTheme="minorHAnsi" w:hAnsiTheme="minorHAnsi" w:cstheme="minorHAnsi"/>
                <w:sz w:val="20"/>
                <w:szCs w:val="20"/>
              </w:rPr>
            </w:pPr>
            <w:r>
              <w:rPr>
                <w:rFonts w:asciiTheme="minorHAnsi" w:hAnsiTheme="minorHAnsi" w:cstheme="minorHAnsi"/>
                <w:sz w:val="20"/>
                <w:szCs w:val="20"/>
              </w:rPr>
              <w:t>5</w:t>
            </w:r>
          </w:p>
        </w:tc>
        <w:tc>
          <w:tcPr>
            <w:tcW w:w="36" w:type="dxa"/>
            <w:vAlign w:val="center"/>
            <w:hideMark/>
          </w:tcPr>
          <w:p w14:paraId="4EA3F7CB" w14:textId="77777777" w:rsidR="00916938" w:rsidRDefault="00916938">
            <w:pPr>
              <w:rPr>
                <w:sz w:val="20"/>
                <w:szCs w:val="20"/>
              </w:rPr>
            </w:pPr>
          </w:p>
        </w:tc>
      </w:tr>
      <w:tr w:rsidR="00916938" w14:paraId="0C6BA277" w14:textId="77777777" w:rsidTr="00916938">
        <w:trPr>
          <w:trHeight w:val="250"/>
        </w:trPr>
        <w:tc>
          <w:tcPr>
            <w:tcW w:w="159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7AB2D1DA" w14:textId="77777777" w:rsidR="00916938" w:rsidRPr="00165657" w:rsidRDefault="00916938">
            <w:pPr>
              <w:jc w:val="center"/>
              <w:rPr>
                <w:rFonts w:asciiTheme="minorHAnsi" w:hAnsiTheme="minorHAnsi" w:cstheme="minorHAnsi"/>
                <w:sz w:val="20"/>
                <w:szCs w:val="20"/>
              </w:rPr>
            </w:pPr>
            <w:r w:rsidRPr="00165657">
              <w:rPr>
                <w:rFonts w:asciiTheme="minorHAnsi" w:hAnsiTheme="minorHAnsi" w:cstheme="minorHAnsi"/>
                <w:sz w:val="20"/>
                <w:szCs w:val="20"/>
              </w:rPr>
              <w:t>Standard 4</w:t>
            </w:r>
          </w:p>
        </w:tc>
        <w:tc>
          <w:tcPr>
            <w:tcW w:w="3325" w:type="dxa"/>
            <w:tcBorders>
              <w:top w:val="nil"/>
              <w:left w:val="nil"/>
              <w:bottom w:val="single" w:sz="4" w:space="0" w:color="auto"/>
              <w:right w:val="single" w:sz="4" w:space="0" w:color="auto"/>
            </w:tcBorders>
            <w:shd w:val="clear" w:color="auto" w:fill="auto"/>
            <w:noWrap/>
            <w:vAlign w:val="center"/>
            <w:hideMark/>
          </w:tcPr>
          <w:p w14:paraId="39298D75" w14:textId="77777777" w:rsidR="00916938" w:rsidRPr="00165657" w:rsidRDefault="00916938">
            <w:pPr>
              <w:jc w:val="center"/>
              <w:rPr>
                <w:rFonts w:asciiTheme="minorHAnsi" w:hAnsiTheme="minorHAnsi" w:cstheme="minorHAnsi"/>
                <w:b/>
                <w:bCs/>
                <w:sz w:val="20"/>
                <w:szCs w:val="20"/>
              </w:rPr>
            </w:pPr>
            <w:r w:rsidRPr="00165657">
              <w:rPr>
                <w:rFonts w:asciiTheme="minorHAnsi" w:hAnsiTheme="minorHAnsi" w:cstheme="minorHAnsi"/>
                <w:b/>
                <w:bCs/>
                <w:sz w:val="20"/>
                <w:szCs w:val="20"/>
              </w:rPr>
              <w:t>2.00</w:t>
            </w:r>
          </w:p>
        </w:tc>
        <w:tc>
          <w:tcPr>
            <w:tcW w:w="1580" w:type="dxa"/>
            <w:tcBorders>
              <w:top w:val="nil"/>
              <w:left w:val="nil"/>
              <w:bottom w:val="single" w:sz="4" w:space="0" w:color="auto"/>
              <w:right w:val="single" w:sz="4" w:space="0" w:color="auto"/>
            </w:tcBorders>
            <w:shd w:val="clear" w:color="auto" w:fill="auto"/>
            <w:noWrap/>
            <w:vAlign w:val="center"/>
            <w:hideMark/>
          </w:tcPr>
          <w:p w14:paraId="0A24A5B0" w14:textId="28D70483" w:rsidR="00916938" w:rsidRPr="00165657" w:rsidRDefault="00331A7A">
            <w:pPr>
              <w:jc w:val="center"/>
              <w:rPr>
                <w:rFonts w:asciiTheme="minorHAnsi" w:hAnsiTheme="minorHAnsi" w:cstheme="minorHAnsi"/>
                <w:sz w:val="20"/>
                <w:szCs w:val="20"/>
              </w:rPr>
            </w:pPr>
            <w:r w:rsidRPr="00165657">
              <w:rPr>
                <w:rFonts w:asciiTheme="minorHAnsi" w:hAnsiTheme="minorHAnsi" w:cstheme="minorHAnsi"/>
                <w:sz w:val="20"/>
                <w:szCs w:val="20"/>
              </w:rPr>
              <w:t>4.0</w:t>
            </w:r>
          </w:p>
        </w:tc>
        <w:tc>
          <w:tcPr>
            <w:tcW w:w="2400" w:type="dxa"/>
            <w:tcBorders>
              <w:top w:val="nil"/>
              <w:left w:val="nil"/>
              <w:bottom w:val="single" w:sz="4" w:space="0" w:color="auto"/>
              <w:right w:val="single" w:sz="4" w:space="0" w:color="auto"/>
            </w:tcBorders>
            <w:shd w:val="clear" w:color="auto" w:fill="auto"/>
            <w:noWrap/>
            <w:vAlign w:val="center"/>
            <w:hideMark/>
          </w:tcPr>
          <w:p w14:paraId="3AF4FECB" w14:textId="2D7D6DCE" w:rsidR="00916938" w:rsidRPr="00165657" w:rsidRDefault="00916938">
            <w:pPr>
              <w:jc w:val="center"/>
              <w:rPr>
                <w:rFonts w:asciiTheme="minorHAnsi" w:hAnsiTheme="minorHAnsi" w:cstheme="minorHAnsi"/>
                <w:sz w:val="20"/>
                <w:szCs w:val="20"/>
              </w:rPr>
            </w:pPr>
            <w:r w:rsidRPr="00165657">
              <w:rPr>
                <w:rFonts w:asciiTheme="minorHAnsi" w:hAnsiTheme="minorHAnsi" w:cstheme="minorHAnsi"/>
                <w:sz w:val="20"/>
                <w:szCs w:val="20"/>
              </w:rPr>
              <w:t>1.0</w:t>
            </w:r>
          </w:p>
        </w:tc>
        <w:tc>
          <w:tcPr>
            <w:tcW w:w="2260" w:type="dxa"/>
            <w:tcBorders>
              <w:top w:val="nil"/>
              <w:left w:val="nil"/>
              <w:bottom w:val="single" w:sz="4" w:space="0" w:color="auto"/>
              <w:right w:val="single" w:sz="4" w:space="0" w:color="auto"/>
            </w:tcBorders>
            <w:shd w:val="clear" w:color="auto" w:fill="auto"/>
            <w:noWrap/>
            <w:vAlign w:val="center"/>
            <w:hideMark/>
          </w:tcPr>
          <w:p w14:paraId="63DF91E1" w14:textId="73639BBB" w:rsidR="00916938" w:rsidRPr="00165657" w:rsidRDefault="00930F1C">
            <w:pPr>
              <w:jc w:val="center"/>
              <w:rPr>
                <w:rFonts w:asciiTheme="minorHAnsi" w:hAnsiTheme="minorHAnsi" w:cstheme="minorHAnsi"/>
                <w:sz w:val="20"/>
                <w:szCs w:val="20"/>
              </w:rPr>
            </w:pPr>
            <w:r>
              <w:rPr>
                <w:rFonts w:asciiTheme="minorHAnsi" w:hAnsiTheme="minorHAnsi" w:cstheme="minorHAnsi"/>
                <w:sz w:val="20"/>
                <w:szCs w:val="20"/>
              </w:rPr>
              <w:t>5</w:t>
            </w:r>
          </w:p>
        </w:tc>
        <w:tc>
          <w:tcPr>
            <w:tcW w:w="36" w:type="dxa"/>
            <w:vAlign w:val="center"/>
            <w:hideMark/>
          </w:tcPr>
          <w:p w14:paraId="12EC404E" w14:textId="77777777" w:rsidR="00916938" w:rsidRDefault="00916938">
            <w:pPr>
              <w:rPr>
                <w:sz w:val="20"/>
                <w:szCs w:val="20"/>
              </w:rPr>
            </w:pPr>
          </w:p>
        </w:tc>
      </w:tr>
    </w:tbl>
    <w:p w14:paraId="65358FE8" w14:textId="77C5BB36" w:rsidR="00FC1430" w:rsidRPr="00670798" w:rsidRDefault="00C774EE" w:rsidP="00C774EE">
      <w:pPr>
        <w:pStyle w:val="11SOP"/>
        <w:numPr>
          <w:ilvl w:val="0"/>
          <w:numId w:val="0"/>
        </w:numPr>
        <w:spacing w:before="120" w:after="120"/>
        <w:rPr>
          <w:rFonts w:asciiTheme="minorHAnsi" w:hAnsiTheme="minorHAnsi" w:cstheme="minorHAnsi"/>
          <w:i/>
          <w:iCs/>
        </w:rPr>
      </w:pPr>
      <w:r>
        <w:rPr>
          <w:rFonts w:asciiTheme="minorHAnsi" w:hAnsiTheme="minorHAnsi" w:cstheme="minorHAnsi"/>
          <w:i/>
          <w:iCs/>
        </w:rPr>
        <w:t>*</w:t>
      </w:r>
      <w:r w:rsidR="00FC1430" w:rsidRPr="00670798">
        <w:rPr>
          <w:rFonts w:asciiTheme="minorHAnsi" w:hAnsiTheme="minorHAnsi" w:cstheme="minorHAnsi"/>
          <w:i/>
          <w:iCs/>
        </w:rPr>
        <w:t>Alternatively, pipet the volumes of the standard at a specific concentration into distilled water into volumetric flasks.</w:t>
      </w:r>
      <w:r w:rsidR="004A6982" w:rsidRPr="00670798">
        <w:rPr>
          <w:rFonts w:asciiTheme="minorHAnsi" w:hAnsiTheme="minorHAnsi" w:cstheme="minorHAnsi"/>
          <w:i/>
          <w:iCs/>
        </w:rPr>
        <w:t xml:space="preserve"> Record the initial and final volumes used in the prepared chemical log.</w:t>
      </w:r>
    </w:p>
    <w:p w14:paraId="4641B442" w14:textId="2EF1D6F9" w:rsidR="00A91BC6" w:rsidRPr="00A91BC6" w:rsidRDefault="00A91BC6" w:rsidP="008F36DB">
      <w:pPr>
        <w:pStyle w:val="11SOP"/>
        <w:numPr>
          <w:ilvl w:val="0"/>
          <w:numId w:val="16"/>
        </w:numPr>
        <w:spacing w:after="120"/>
        <w:rPr>
          <w:rFonts w:asciiTheme="minorHAnsi" w:hAnsiTheme="minorHAnsi" w:cstheme="minorHAnsi"/>
        </w:rPr>
      </w:pPr>
      <w:r w:rsidRPr="00A91BC6">
        <w:rPr>
          <w:rFonts w:asciiTheme="minorHAnsi" w:hAnsiTheme="minorHAnsi" w:cstheme="minorHAnsi"/>
          <w:szCs w:val="22"/>
        </w:rPr>
        <w:t>ICV (initial calibration verification standard), second source ammonia stock standard, 100 mg/L NH</w:t>
      </w:r>
      <w:r w:rsidRPr="00A91BC6">
        <w:rPr>
          <w:rFonts w:asciiTheme="minorHAnsi" w:hAnsiTheme="minorHAnsi" w:cstheme="minorHAnsi"/>
          <w:szCs w:val="22"/>
          <w:vertAlign w:val="subscript"/>
        </w:rPr>
        <w:t>3</w:t>
      </w:r>
      <w:r w:rsidRPr="00A91BC6">
        <w:rPr>
          <w:rFonts w:asciiTheme="minorHAnsi" w:hAnsiTheme="minorHAnsi" w:cstheme="minorHAnsi"/>
          <w:szCs w:val="22"/>
        </w:rPr>
        <w:t xml:space="preserve">-N. Must be a lot # different from </w:t>
      </w:r>
      <w:r w:rsidR="008F36DB">
        <w:rPr>
          <w:rFonts w:asciiTheme="minorHAnsi" w:hAnsiTheme="minorHAnsi" w:cstheme="minorHAnsi"/>
          <w:szCs w:val="22"/>
        </w:rPr>
        <w:t>the calibration standard source</w:t>
      </w:r>
      <w:r w:rsidRPr="00A91BC6">
        <w:rPr>
          <w:rFonts w:asciiTheme="minorHAnsi" w:hAnsiTheme="minorHAnsi" w:cstheme="minorHAnsi"/>
          <w:szCs w:val="22"/>
        </w:rPr>
        <w:t xml:space="preserve"> above. </w:t>
      </w:r>
      <w:r w:rsidR="00165657">
        <w:rPr>
          <w:rFonts w:asciiTheme="minorHAnsi" w:hAnsiTheme="minorHAnsi" w:cstheme="minorHAnsi"/>
          <w:szCs w:val="22"/>
        </w:rPr>
        <w:t xml:space="preserve">Use </w:t>
      </w:r>
      <w:r w:rsidRPr="00A91BC6">
        <w:rPr>
          <w:rFonts w:asciiTheme="minorHAnsi" w:hAnsiTheme="minorHAnsi" w:cstheme="minorHAnsi"/>
        </w:rPr>
        <w:t xml:space="preserve">This </w:t>
      </w:r>
      <w:r w:rsidR="00165657">
        <w:rPr>
          <w:rFonts w:asciiTheme="minorHAnsi" w:hAnsiTheme="minorHAnsi" w:cstheme="minorHAnsi"/>
        </w:rPr>
        <w:t xml:space="preserve">the </w:t>
      </w:r>
      <w:r w:rsidRPr="00A91BC6">
        <w:rPr>
          <w:rFonts w:asciiTheme="minorHAnsi" w:hAnsiTheme="minorHAnsi" w:cstheme="minorHAnsi"/>
        </w:rPr>
        <w:t>manufacturer’s</w:t>
      </w:r>
      <w:r w:rsidR="000B19C5">
        <w:rPr>
          <w:rFonts w:asciiTheme="minorHAnsi" w:hAnsiTheme="minorHAnsi" w:cstheme="minorHAnsi"/>
        </w:rPr>
        <w:t xml:space="preserve"> storage &amp;</w:t>
      </w:r>
      <w:r w:rsidRPr="00A91BC6">
        <w:rPr>
          <w:rFonts w:asciiTheme="minorHAnsi" w:hAnsiTheme="minorHAnsi" w:cstheme="minorHAnsi"/>
        </w:rPr>
        <w:t xml:space="preserve"> expir</w:t>
      </w:r>
      <w:r w:rsidR="000B19C5">
        <w:rPr>
          <w:rFonts w:asciiTheme="minorHAnsi" w:hAnsiTheme="minorHAnsi" w:cstheme="minorHAnsi"/>
        </w:rPr>
        <w:t xml:space="preserve">e </w:t>
      </w:r>
      <w:r w:rsidRPr="00A91BC6">
        <w:rPr>
          <w:rFonts w:asciiTheme="minorHAnsi" w:hAnsiTheme="minorHAnsi" w:cstheme="minorHAnsi"/>
        </w:rPr>
        <w:t>date.</w:t>
      </w:r>
    </w:p>
    <w:p w14:paraId="7B17167B" w14:textId="349AA416" w:rsidR="004A6982" w:rsidRDefault="00A91BC6" w:rsidP="008F36DB">
      <w:pPr>
        <w:pStyle w:val="11SOP"/>
        <w:numPr>
          <w:ilvl w:val="0"/>
          <w:numId w:val="16"/>
        </w:numPr>
        <w:spacing w:after="120"/>
        <w:rPr>
          <w:rFonts w:asciiTheme="minorHAnsi" w:hAnsiTheme="minorHAnsi" w:cstheme="minorHAnsi"/>
        </w:rPr>
      </w:pPr>
      <w:r w:rsidRPr="00A91BC6">
        <w:rPr>
          <w:rFonts w:asciiTheme="minorHAnsi" w:hAnsiTheme="minorHAnsi" w:cstheme="minorHAnsi"/>
        </w:rPr>
        <w:t xml:space="preserve">ICV ammonia working standard solution, </w:t>
      </w:r>
      <w:r w:rsidR="0035060D">
        <w:rPr>
          <w:rFonts w:asciiTheme="minorHAnsi" w:hAnsiTheme="minorHAnsi" w:cstheme="minorHAnsi"/>
        </w:rPr>
        <w:t>1.0</w:t>
      </w:r>
      <w:r w:rsidRPr="00A91BC6">
        <w:rPr>
          <w:rFonts w:asciiTheme="minorHAnsi" w:hAnsiTheme="minorHAnsi" w:cstheme="minorHAnsi"/>
        </w:rPr>
        <w:t xml:space="preserve"> mg/L NH</w:t>
      </w:r>
      <w:r w:rsidRPr="00A91BC6">
        <w:rPr>
          <w:rFonts w:asciiTheme="minorHAnsi" w:hAnsiTheme="minorHAnsi" w:cstheme="minorHAnsi"/>
          <w:vertAlign w:val="subscript"/>
        </w:rPr>
        <w:t>3</w:t>
      </w:r>
      <w:r w:rsidRPr="00A91BC6">
        <w:rPr>
          <w:rFonts w:asciiTheme="minorHAnsi" w:hAnsiTheme="minorHAnsi" w:cstheme="minorHAnsi"/>
        </w:rPr>
        <w:t xml:space="preserve">-N. </w:t>
      </w:r>
    </w:p>
    <w:p w14:paraId="39D2CE40" w14:textId="03032030" w:rsidR="004A6982" w:rsidRDefault="004A6982" w:rsidP="004A6982">
      <w:pPr>
        <w:pStyle w:val="11SOP"/>
        <w:numPr>
          <w:ilvl w:val="0"/>
          <w:numId w:val="0"/>
        </w:numPr>
        <w:spacing w:after="120"/>
        <w:ind w:left="720"/>
        <w:rPr>
          <w:rFonts w:asciiTheme="minorHAnsi" w:hAnsiTheme="minorHAnsi" w:cstheme="minorHAnsi"/>
        </w:rPr>
      </w:pPr>
      <w:r>
        <w:rPr>
          <w:rFonts w:asciiTheme="minorHAnsi" w:hAnsiTheme="minorHAnsi" w:cstheme="minorHAnsi"/>
        </w:rPr>
        <w:t xml:space="preserve">Option 1: </w:t>
      </w:r>
      <w:r w:rsidR="007A2876">
        <w:rPr>
          <w:rFonts w:asciiTheme="minorHAnsi" w:hAnsiTheme="minorHAnsi" w:cstheme="minorHAnsi"/>
        </w:rPr>
        <w:t xml:space="preserve">Step a: </w:t>
      </w:r>
      <w:r>
        <w:rPr>
          <w:rFonts w:asciiTheme="minorHAnsi" w:hAnsiTheme="minorHAnsi" w:cstheme="minorHAnsi"/>
        </w:rPr>
        <w:t xml:space="preserve">Make a 10 mg/L intermediate standard by pipetting </w:t>
      </w:r>
      <w:r w:rsidR="00C774EE">
        <w:rPr>
          <w:rFonts w:asciiTheme="minorHAnsi" w:hAnsiTheme="minorHAnsi" w:cstheme="minorHAnsi"/>
        </w:rPr>
        <w:t>0.5</w:t>
      </w:r>
      <w:r>
        <w:rPr>
          <w:rFonts w:asciiTheme="minorHAnsi" w:hAnsiTheme="minorHAnsi" w:cstheme="minorHAnsi"/>
        </w:rPr>
        <w:t xml:space="preserve"> ml (of a 100 mg/L standard) into </w:t>
      </w:r>
      <w:r w:rsidR="00C774EE">
        <w:rPr>
          <w:rFonts w:asciiTheme="minorHAnsi" w:hAnsiTheme="minorHAnsi" w:cstheme="minorHAnsi"/>
        </w:rPr>
        <w:t>4.5</w:t>
      </w:r>
      <w:r>
        <w:rPr>
          <w:rFonts w:asciiTheme="minorHAnsi" w:hAnsiTheme="minorHAnsi" w:cstheme="minorHAnsi"/>
        </w:rPr>
        <w:t xml:space="preserve"> mL of distilled water in a clean beaker/container</w:t>
      </w:r>
      <w:r w:rsidR="00670798">
        <w:rPr>
          <w:rFonts w:asciiTheme="minorHAnsi" w:hAnsiTheme="minorHAnsi" w:cstheme="minorHAnsi"/>
        </w:rPr>
        <w:t xml:space="preserve"> followed by</w:t>
      </w:r>
      <w:r w:rsidR="007A2876">
        <w:rPr>
          <w:rFonts w:asciiTheme="minorHAnsi" w:hAnsiTheme="minorHAnsi" w:cstheme="minorHAnsi"/>
        </w:rPr>
        <w:t xml:space="preserve"> step b:</w:t>
      </w:r>
    </w:p>
    <w:p w14:paraId="2B95AE38" w14:textId="6AF43A70" w:rsidR="004A6982" w:rsidRDefault="007A2876" w:rsidP="004A6982">
      <w:pPr>
        <w:pStyle w:val="11SOP"/>
        <w:numPr>
          <w:ilvl w:val="0"/>
          <w:numId w:val="0"/>
        </w:numPr>
        <w:spacing w:after="120"/>
        <w:ind w:left="720"/>
        <w:rPr>
          <w:rFonts w:asciiTheme="minorHAnsi" w:hAnsiTheme="minorHAnsi" w:cstheme="minorHAnsi"/>
        </w:rPr>
      </w:pPr>
      <w:r>
        <w:rPr>
          <w:rFonts w:asciiTheme="minorHAnsi" w:hAnsiTheme="minorHAnsi" w:cstheme="minorHAnsi"/>
        </w:rPr>
        <w:t>Step b:</w:t>
      </w:r>
      <w:r w:rsidR="004A6982">
        <w:rPr>
          <w:rFonts w:asciiTheme="minorHAnsi" w:hAnsiTheme="minorHAnsi" w:cstheme="minorHAnsi"/>
        </w:rPr>
        <w:t xml:space="preserve"> pipet 0.5 ml of the 10.0mg/L intermediate standard into the Hach vial and add 4.5 mL of distilled water. This is a 1.0 mg/L concentration.</w:t>
      </w:r>
    </w:p>
    <w:p w14:paraId="39B10B34" w14:textId="675BBFF4" w:rsidR="0035060D" w:rsidRDefault="004A6982" w:rsidP="004A6982">
      <w:pPr>
        <w:pStyle w:val="11SOP"/>
        <w:numPr>
          <w:ilvl w:val="0"/>
          <w:numId w:val="0"/>
        </w:numPr>
        <w:spacing w:after="120"/>
        <w:ind w:left="720"/>
        <w:rPr>
          <w:rFonts w:asciiTheme="minorHAnsi" w:hAnsiTheme="minorHAnsi" w:cstheme="minorHAnsi"/>
        </w:rPr>
      </w:pPr>
      <w:r>
        <w:rPr>
          <w:rFonts w:asciiTheme="minorHAnsi" w:hAnsiTheme="minorHAnsi" w:cstheme="minorHAnsi"/>
        </w:rPr>
        <w:t xml:space="preserve">Option 2: </w:t>
      </w:r>
      <w:r w:rsidR="0035060D">
        <w:rPr>
          <w:rFonts w:asciiTheme="minorHAnsi" w:hAnsiTheme="minorHAnsi" w:cstheme="minorHAnsi"/>
        </w:rPr>
        <w:t xml:space="preserve">Add 1.0 mL of the stock ICV standard to a 100 mL volumetric flask that is ~1/2 full of distilled water. Bring up to volume with distilled water. Store according to the directions for the stock standard. If any standard is refrigerated, it must be separate from samples </w:t>
      </w:r>
      <w:proofErr w:type="gramStart"/>
      <w:r w:rsidR="0035060D">
        <w:rPr>
          <w:rFonts w:asciiTheme="minorHAnsi" w:hAnsiTheme="minorHAnsi" w:cstheme="minorHAnsi"/>
        </w:rPr>
        <w:t>and also</w:t>
      </w:r>
      <w:proofErr w:type="gramEnd"/>
      <w:r w:rsidR="0035060D">
        <w:rPr>
          <w:rFonts w:asciiTheme="minorHAnsi" w:hAnsiTheme="minorHAnsi" w:cstheme="minorHAnsi"/>
        </w:rPr>
        <w:t xml:space="preserve"> from contaminating sources. Replace as needed.</w:t>
      </w:r>
    </w:p>
    <w:p w14:paraId="4E80EBAE" w14:textId="77777777" w:rsidR="00A91BC6" w:rsidRPr="00A91BC6" w:rsidRDefault="00A91BC6" w:rsidP="008F36DB">
      <w:pPr>
        <w:pStyle w:val="11SOP"/>
        <w:numPr>
          <w:ilvl w:val="0"/>
          <w:numId w:val="16"/>
        </w:numPr>
        <w:spacing w:after="120"/>
        <w:rPr>
          <w:rFonts w:asciiTheme="minorHAnsi" w:hAnsiTheme="minorHAnsi" w:cstheme="minorHAnsi"/>
        </w:rPr>
      </w:pPr>
      <w:bookmarkStart w:id="1" w:name="_Hlk513534958"/>
      <w:r w:rsidRPr="00A91BC6">
        <w:rPr>
          <w:rFonts w:asciiTheme="minorHAnsi" w:hAnsiTheme="minorHAnsi" w:cstheme="minorHAnsi"/>
        </w:rPr>
        <w:t>Sulfuric acid solution, 5 N (for preserving samples)</w:t>
      </w:r>
    </w:p>
    <w:p w14:paraId="42DE5EDB" w14:textId="77777777" w:rsidR="00A91BC6" w:rsidRPr="00A91BC6" w:rsidRDefault="00A91BC6" w:rsidP="008F36DB">
      <w:pPr>
        <w:pStyle w:val="11SOP"/>
        <w:numPr>
          <w:ilvl w:val="0"/>
          <w:numId w:val="16"/>
        </w:numPr>
        <w:spacing w:after="120"/>
        <w:rPr>
          <w:rFonts w:asciiTheme="minorHAnsi" w:hAnsiTheme="minorHAnsi" w:cstheme="minorHAnsi"/>
        </w:rPr>
      </w:pPr>
      <w:r w:rsidRPr="00A91BC6">
        <w:rPr>
          <w:rFonts w:asciiTheme="minorHAnsi" w:hAnsiTheme="minorHAnsi" w:cstheme="minorHAnsi"/>
        </w:rPr>
        <w:t>Sodium hydroxide solution, 5 N (for neutralizing preserved samples)</w:t>
      </w:r>
      <w:bookmarkEnd w:id="1"/>
    </w:p>
    <w:p w14:paraId="4F0F216D" w14:textId="7ED67B0D" w:rsidR="00A91BC6" w:rsidRPr="008F36DB" w:rsidRDefault="00A91BC6" w:rsidP="008F36DB">
      <w:pPr>
        <w:pStyle w:val="11SOP"/>
        <w:numPr>
          <w:ilvl w:val="0"/>
          <w:numId w:val="16"/>
        </w:numPr>
        <w:spacing w:after="120"/>
        <w:rPr>
          <w:rFonts w:asciiTheme="minorHAnsi" w:hAnsiTheme="minorHAnsi" w:cstheme="minorHAnsi"/>
        </w:rPr>
      </w:pPr>
      <w:r w:rsidRPr="00A91BC6">
        <w:rPr>
          <w:rFonts w:asciiTheme="minorHAnsi" w:hAnsiTheme="minorHAnsi" w:cstheme="minorHAnsi"/>
        </w:rPr>
        <w:t>Proficiency Testing samples from an approved provider</w:t>
      </w:r>
    </w:p>
    <w:p w14:paraId="0CFA0186" w14:textId="77777777" w:rsidR="00CB7F64" w:rsidRDefault="00CB7F64" w:rsidP="004A103C"/>
    <w:p w14:paraId="423AFAFE" w14:textId="4FD1D3B5" w:rsidR="00670798" w:rsidRDefault="00670798" w:rsidP="00A91BC6">
      <w:pPr>
        <w:pStyle w:val="ListParagraph"/>
        <w:numPr>
          <w:ilvl w:val="0"/>
          <w:numId w:val="13"/>
        </w:numPr>
        <w:tabs>
          <w:tab w:val="left" w:pos="450"/>
        </w:tabs>
        <w:spacing w:line="240" w:lineRule="auto"/>
        <w:rPr>
          <w:b/>
          <w:bCs/>
        </w:rPr>
      </w:pPr>
      <w:r>
        <w:rPr>
          <w:b/>
          <w:bCs/>
        </w:rPr>
        <w:t>Calibration</w:t>
      </w:r>
    </w:p>
    <w:p w14:paraId="4FA09B99" w14:textId="4916CBED" w:rsidR="00670798" w:rsidRDefault="00670798" w:rsidP="00670798">
      <w:pPr>
        <w:pStyle w:val="ListParagraph"/>
        <w:numPr>
          <w:ilvl w:val="1"/>
          <w:numId w:val="13"/>
        </w:numPr>
        <w:tabs>
          <w:tab w:val="left" w:pos="450"/>
        </w:tabs>
        <w:spacing w:line="240" w:lineRule="auto"/>
      </w:pPr>
      <w:r>
        <w:t xml:space="preserve">Prepare the calibration standards and the calibration blank in the Hach vials. A linear calibration requires at least 3 </w:t>
      </w:r>
      <w:proofErr w:type="gramStart"/>
      <w:r>
        <w:t>non zero</w:t>
      </w:r>
      <w:proofErr w:type="gramEnd"/>
      <w:r>
        <w:t xml:space="preserve"> standards. The correlation coefficient (r) must be at least 0.995. </w:t>
      </w:r>
      <w:r w:rsidR="00CB7F64">
        <w:t xml:space="preserve">If this does not pass, fix the </w:t>
      </w:r>
      <w:proofErr w:type="gramStart"/>
      <w:r w:rsidR="00CB7F64">
        <w:t>problem</w:t>
      </w:r>
      <w:proofErr w:type="gramEnd"/>
      <w:r w:rsidR="00CB7F64">
        <w:t xml:space="preserve"> and recalibrate the instrument.</w:t>
      </w:r>
    </w:p>
    <w:p w14:paraId="0A9A23E9" w14:textId="77777777" w:rsidR="00CB7F64" w:rsidRDefault="00CB7F64" w:rsidP="00CB7F64">
      <w:pPr>
        <w:pStyle w:val="ListParagraph"/>
        <w:tabs>
          <w:tab w:val="left" w:pos="450"/>
        </w:tabs>
        <w:spacing w:line="240" w:lineRule="auto"/>
        <w:ind w:left="1170"/>
      </w:pPr>
    </w:p>
    <w:p w14:paraId="3FB39A73" w14:textId="3CD119B0" w:rsidR="00670798" w:rsidRDefault="00670798" w:rsidP="00026374">
      <w:pPr>
        <w:pStyle w:val="ListParagraph"/>
        <w:numPr>
          <w:ilvl w:val="1"/>
          <w:numId w:val="13"/>
        </w:numPr>
        <w:tabs>
          <w:tab w:val="left" w:pos="450"/>
        </w:tabs>
        <w:spacing w:after="120" w:line="240" w:lineRule="auto"/>
        <w:ind w:left="1166"/>
        <w:contextualSpacing w:val="0"/>
      </w:pPr>
      <w:r>
        <w:t>The calibration must be initially verified with a 2</w:t>
      </w:r>
      <w:r w:rsidRPr="00670798">
        <w:rPr>
          <w:vertAlign w:val="superscript"/>
        </w:rPr>
        <w:t>nd</w:t>
      </w:r>
      <w:r>
        <w:t xml:space="preserve"> source standard, the recovery must meet 90-110% recovery. Then on an ongoing basis the calibration is verified using a CCV must be analyzed and pass 90-110%.</w:t>
      </w:r>
    </w:p>
    <w:p w14:paraId="3CD34795" w14:textId="30B97AB0" w:rsidR="00026374" w:rsidRDefault="00026374" w:rsidP="00670798">
      <w:pPr>
        <w:pStyle w:val="ListParagraph"/>
        <w:numPr>
          <w:ilvl w:val="1"/>
          <w:numId w:val="13"/>
        </w:numPr>
        <w:tabs>
          <w:tab w:val="left" w:pos="450"/>
        </w:tabs>
        <w:spacing w:line="240" w:lineRule="auto"/>
      </w:pPr>
      <w:r>
        <w:t>When compliance samples are analyzed, the onboard/preprogrammed calibration must NOT be used.</w:t>
      </w:r>
    </w:p>
    <w:p w14:paraId="34C36A70" w14:textId="0A4410DD" w:rsidR="00670798" w:rsidRDefault="00454133" w:rsidP="00CB7F64">
      <w:pPr>
        <w:pStyle w:val="11SOP"/>
        <w:numPr>
          <w:ilvl w:val="1"/>
          <w:numId w:val="13"/>
        </w:numPr>
        <w:rPr>
          <w:rFonts w:asciiTheme="minorHAnsi" w:hAnsiTheme="minorHAnsi" w:cstheme="minorHAnsi"/>
        </w:rPr>
      </w:pPr>
      <w:proofErr w:type="gramStart"/>
      <w:r>
        <w:rPr>
          <w:rFonts w:asciiTheme="minorHAnsi" w:hAnsiTheme="minorHAnsi" w:cstheme="minorHAnsi"/>
        </w:rPr>
        <w:t>In order to</w:t>
      </w:r>
      <w:proofErr w:type="gramEnd"/>
      <w:r>
        <w:rPr>
          <w:rFonts w:asciiTheme="minorHAnsi" w:hAnsiTheme="minorHAnsi" w:cstheme="minorHAnsi"/>
        </w:rPr>
        <w:t xml:space="preserve"> enter the information onto (or into) the </w:t>
      </w:r>
      <w:proofErr w:type="spellStart"/>
      <w:r>
        <w:rPr>
          <w:rFonts w:asciiTheme="minorHAnsi" w:hAnsiTheme="minorHAnsi" w:cstheme="minorHAnsi"/>
        </w:rPr>
        <w:t>benchsheet</w:t>
      </w:r>
      <w:proofErr w:type="spellEnd"/>
      <w:r>
        <w:rPr>
          <w:rFonts w:asciiTheme="minorHAnsi" w:hAnsiTheme="minorHAnsi" w:cstheme="minorHAnsi"/>
        </w:rPr>
        <w:t xml:space="preserve">, make sure to open it or print it. Saving the </w:t>
      </w:r>
      <w:proofErr w:type="spellStart"/>
      <w:r>
        <w:rPr>
          <w:rFonts w:asciiTheme="minorHAnsi" w:hAnsiTheme="minorHAnsi" w:cstheme="minorHAnsi"/>
        </w:rPr>
        <w:t>benchsheets</w:t>
      </w:r>
      <w:proofErr w:type="spellEnd"/>
      <w:r>
        <w:rPr>
          <w:rFonts w:asciiTheme="minorHAnsi" w:hAnsiTheme="minorHAnsi" w:cstheme="minorHAnsi"/>
        </w:rPr>
        <w:t xml:space="preserve"> on the computer will require renaming it on each analysis day.</w:t>
      </w:r>
    </w:p>
    <w:p w14:paraId="470FC183" w14:textId="2678B09C" w:rsidR="00A90809" w:rsidRPr="00690644" w:rsidRDefault="00A90809" w:rsidP="00690644">
      <w:pPr>
        <w:pStyle w:val="11SOP"/>
        <w:numPr>
          <w:ilvl w:val="1"/>
          <w:numId w:val="13"/>
        </w:numPr>
        <w:rPr>
          <w:rFonts w:asciiTheme="minorHAnsi" w:hAnsiTheme="minorHAnsi" w:cstheme="minorHAnsi"/>
        </w:rPr>
      </w:pPr>
      <w:r w:rsidRPr="00690644">
        <w:rPr>
          <w:rFonts w:asciiTheme="minorHAnsi" w:hAnsiTheme="minorHAnsi" w:cstheme="minorHAnsi"/>
          <w:bCs/>
        </w:rPr>
        <w:t xml:space="preserve">Zero the spectrophotometer with a method blank sample </w:t>
      </w:r>
      <w:r w:rsidR="00B32BA2">
        <w:rPr>
          <w:rFonts w:asciiTheme="minorHAnsi" w:hAnsiTheme="minorHAnsi" w:cstheme="minorHAnsi"/>
          <w:bCs/>
        </w:rPr>
        <w:t>that has</w:t>
      </w:r>
      <w:r w:rsidRPr="00690644">
        <w:rPr>
          <w:rFonts w:asciiTheme="minorHAnsi" w:hAnsiTheme="minorHAnsi" w:cstheme="minorHAnsi"/>
          <w:bCs/>
        </w:rPr>
        <w:t xml:space="preserve"> </w:t>
      </w:r>
      <w:r w:rsidR="00B32BA2">
        <w:rPr>
          <w:rFonts w:asciiTheme="minorHAnsi" w:hAnsiTheme="minorHAnsi" w:cstheme="minorHAnsi"/>
          <w:bCs/>
        </w:rPr>
        <w:t>NO</w:t>
      </w:r>
      <w:r w:rsidRPr="00690644">
        <w:rPr>
          <w:rFonts w:asciiTheme="minorHAnsi" w:hAnsiTheme="minorHAnsi" w:cstheme="minorHAnsi"/>
          <w:bCs/>
        </w:rPr>
        <w:t xml:space="preserve"> reagent from under the </w:t>
      </w:r>
      <w:proofErr w:type="spellStart"/>
      <w:r w:rsidRPr="00690644">
        <w:rPr>
          <w:rFonts w:asciiTheme="minorHAnsi" w:hAnsiTheme="minorHAnsi" w:cstheme="minorHAnsi"/>
          <w:bCs/>
        </w:rPr>
        <w:t>DosiCap</w:t>
      </w:r>
      <w:proofErr w:type="spellEnd"/>
      <w:r w:rsidRPr="00690644">
        <w:rPr>
          <w:rFonts w:asciiTheme="minorHAnsi" w:hAnsiTheme="minorHAnsi" w:cstheme="minorHAnsi"/>
          <w:bCs/>
        </w:rPr>
        <w:t>™ added (this is the instrument blank).  Insert the vial, close the cover, and press “ZERO” to zero the meter.</w:t>
      </w:r>
    </w:p>
    <w:p w14:paraId="244E1B98" w14:textId="6652B118" w:rsidR="008D7750" w:rsidRDefault="008D7750" w:rsidP="00690644">
      <w:pPr>
        <w:pStyle w:val="11SOP"/>
        <w:numPr>
          <w:ilvl w:val="1"/>
          <w:numId w:val="13"/>
        </w:numPr>
        <w:rPr>
          <w:rFonts w:asciiTheme="minorHAnsi" w:hAnsiTheme="minorHAnsi" w:cstheme="minorHAnsi"/>
        </w:rPr>
      </w:pPr>
      <w:r w:rsidRPr="00690644">
        <w:rPr>
          <w:rFonts w:asciiTheme="minorHAnsi" w:hAnsiTheme="minorHAnsi" w:cstheme="minorHAnsi"/>
        </w:rPr>
        <w:t>The calibration the same as the samples (see the procedure below). After the timer goes off, insert the 0 standard (calibration blank) and enter the concentration (0.00), press enter, press read to get the absorbance value, and record absorbance on the bench sheet. Record the actual absorbance for the calibration blank this is rarely exactly 0.</w:t>
      </w:r>
    </w:p>
    <w:p w14:paraId="0C8C1BB1" w14:textId="52C32574" w:rsidR="008D7750" w:rsidRDefault="008D7750" w:rsidP="00690644">
      <w:pPr>
        <w:pStyle w:val="11SOP"/>
        <w:numPr>
          <w:ilvl w:val="1"/>
          <w:numId w:val="13"/>
        </w:numPr>
        <w:rPr>
          <w:rFonts w:asciiTheme="minorHAnsi" w:hAnsiTheme="minorHAnsi" w:cstheme="minorHAnsi"/>
        </w:rPr>
      </w:pPr>
      <w:r w:rsidRPr="00690644">
        <w:rPr>
          <w:rFonts w:asciiTheme="minorHAnsi" w:hAnsiTheme="minorHAnsi" w:cstheme="minorHAnsi"/>
        </w:rPr>
        <w:t xml:space="preserve">Insert the 0.2 /lowest standard and enter the concentration (0.2), press enter, press read, and record the absorbance.  Do this with each of the prepared standards.  After the 2.0 mg/L standard concentration was entered, press exit, display will show “Force Zero on/off,” and select force Zero </w:t>
      </w:r>
      <w:r w:rsidRPr="00690644">
        <w:rPr>
          <w:rFonts w:asciiTheme="minorHAnsi" w:hAnsiTheme="minorHAnsi" w:cstheme="minorHAnsi"/>
          <w:b/>
          <w:bCs/>
        </w:rPr>
        <w:t>off</w:t>
      </w:r>
      <w:r w:rsidRPr="00690644">
        <w:rPr>
          <w:rFonts w:asciiTheme="minorHAnsi" w:hAnsiTheme="minorHAnsi" w:cstheme="minorHAnsi"/>
        </w:rPr>
        <w:t>.  Press down, display will show Calibration Formula, press enter, and select formula for r2=, press enter.  Press down arrow to Store Program, and press enter.</w:t>
      </w:r>
    </w:p>
    <w:p w14:paraId="0473B5AF" w14:textId="01DBFEE5" w:rsidR="008D7750" w:rsidRDefault="008D7750" w:rsidP="00690644">
      <w:pPr>
        <w:pStyle w:val="11SOP"/>
        <w:numPr>
          <w:ilvl w:val="1"/>
          <w:numId w:val="13"/>
        </w:numPr>
        <w:rPr>
          <w:rFonts w:asciiTheme="minorHAnsi" w:hAnsiTheme="minorHAnsi" w:cstheme="minorHAnsi"/>
        </w:rPr>
      </w:pPr>
      <w:r w:rsidRPr="00690644">
        <w:rPr>
          <w:rFonts w:asciiTheme="minorHAnsi" w:hAnsiTheme="minorHAnsi" w:cstheme="minorHAnsi"/>
        </w:rPr>
        <w:t>Entering the calibration standards on the applicable NH</w:t>
      </w:r>
      <w:r w:rsidRPr="00690644">
        <w:rPr>
          <w:rFonts w:asciiTheme="minorHAnsi" w:hAnsiTheme="minorHAnsi" w:cstheme="minorHAnsi"/>
          <w:vertAlign w:val="subscript"/>
        </w:rPr>
        <w:t>3</w:t>
      </w:r>
      <w:r w:rsidRPr="00690644">
        <w:rPr>
          <w:rFonts w:asciiTheme="minorHAnsi" w:hAnsiTheme="minorHAnsi" w:cstheme="minorHAnsi"/>
        </w:rPr>
        <w:t xml:space="preserve">-N </w:t>
      </w:r>
      <w:proofErr w:type="spellStart"/>
      <w:r w:rsidRPr="00690644">
        <w:rPr>
          <w:rFonts w:asciiTheme="minorHAnsi" w:hAnsiTheme="minorHAnsi" w:cstheme="minorHAnsi"/>
        </w:rPr>
        <w:t>benchsheet</w:t>
      </w:r>
      <w:proofErr w:type="spellEnd"/>
      <w:r w:rsidRPr="00690644">
        <w:rPr>
          <w:rFonts w:asciiTheme="minorHAnsi" w:hAnsiTheme="minorHAnsi" w:cstheme="minorHAnsi"/>
        </w:rPr>
        <w:t xml:space="preserve"> will allow the analyst to view the calibration and will also provide warnings if the QC is failing or the samples are over range.</w:t>
      </w:r>
    </w:p>
    <w:p w14:paraId="6FCE3A68" w14:textId="0F8F92A7" w:rsidR="00863187" w:rsidRDefault="00863187" w:rsidP="00690644">
      <w:pPr>
        <w:pStyle w:val="11SOP"/>
        <w:numPr>
          <w:ilvl w:val="1"/>
          <w:numId w:val="13"/>
        </w:numPr>
        <w:rPr>
          <w:rFonts w:asciiTheme="minorHAnsi" w:hAnsiTheme="minorHAnsi" w:cstheme="minorHAnsi"/>
        </w:rPr>
      </w:pPr>
      <w:r>
        <w:rPr>
          <w:rFonts w:asciiTheme="minorHAnsi" w:hAnsiTheme="minorHAnsi" w:cstheme="minorHAnsi"/>
        </w:rPr>
        <w:t xml:space="preserve">Refer to the QC table for frequency, </w:t>
      </w:r>
      <w:proofErr w:type="gramStart"/>
      <w:r>
        <w:rPr>
          <w:rFonts w:asciiTheme="minorHAnsi" w:hAnsiTheme="minorHAnsi" w:cstheme="minorHAnsi"/>
        </w:rPr>
        <w:t>criteria</w:t>
      </w:r>
      <w:proofErr w:type="gramEnd"/>
      <w:r>
        <w:rPr>
          <w:rFonts w:asciiTheme="minorHAnsi" w:hAnsiTheme="minorHAnsi" w:cstheme="minorHAnsi"/>
        </w:rPr>
        <w:t xml:space="preserve"> and corrective actions.</w:t>
      </w:r>
    </w:p>
    <w:p w14:paraId="358E4843" w14:textId="77777777" w:rsidR="00863187" w:rsidRPr="00863187" w:rsidRDefault="00863187" w:rsidP="00863187">
      <w:pPr>
        <w:tabs>
          <w:tab w:val="left" w:pos="450"/>
        </w:tabs>
        <w:ind w:left="1170"/>
        <w:rPr>
          <w:rFonts w:asciiTheme="minorHAnsi" w:hAnsiTheme="minorHAnsi" w:cstheme="minorHAnsi"/>
          <w:sz w:val="22"/>
          <w:szCs w:val="22"/>
          <w:u w:val="single"/>
        </w:rPr>
      </w:pPr>
      <w:r w:rsidRPr="00863187">
        <w:rPr>
          <w:rFonts w:asciiTheme="minorHAnsi" w:hAnsiTheme="minorHAnsi" w:cstheme="minorHAnsi"/>
          <w:sz w:val="22"/>
          <w:szCs w:val="22"/>
          <w:u w:val="single"/>
        </w:rPr>
        <w:t>Example sequence on calibration days:</w:t>
      </w:r>
    </w:p>
    <w:p w14:paraId="2E770968" w14:textId="7777777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t>Calibration blank, followed by each calibration standard</w:t>
      </w:r>
    </w:p>
    <w:p w14:paraId="27B0B72B" w14:textId="7777777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t xml:space="preserve">ICV </w:t>
      </w:r>
    </w:p>
    <w:p w14:paraId="416FC509" w14:textId="7777777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t>CCV/LCS</w:t>
      </w:r>
    </w:p>
    <w:p w14:paraId="77E6D0FE" w14:textId="7777777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t>MB/CCB</w:t>
      </w:r>
    </w:p>
    <w:p w14:paraId="6CECA199" w14:textId="7777777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t>Samples 1-10</w:t>
      </w:r>
    </w:p>
    <w:p w14:paraId="4D005834" w14:textId="7777777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t>CCV (same as the CCV/LCS above)</w:t>
      </w:r>
    </w:p>
    <w:p w14:paraId="214492D7" w14:textId="7777777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t>CCB (same as the MB/CCB above)</w:t>
      </w:r>
    </w:p>
    <w:p w14:paraId="5EC214AD" w14:textId="77777777" w:rsidR="00863187" w:rsidRPr="00863187" w:rsidRDefault="00863187" w:rsidP="00863187">
      <w:pPr>
        <w:tabs>
          <w:tab w:val="left" w:pos="450"/>
        </w:tabs>
        <w:ind w:left="1170"/>
        <w:rPr>
          <w:rFonts w:asciiTheme="minorHAnsi" w:hAnsiTheme="minorHAnsi" w:cstheme="minorHAnsi"/>
          <w:sz w:val="22"/>
          <w:szCs w:val="22"/>
        </w:rPr>
      </w:pPr>
    </w:p>
    <w:p w14:paraId="56A01121" w14:textId="77777777" w:rsidR="00863187" w:rsidRPr="00863187" w:rsidRDefault="00863187" w:rsidP="00863187">
      <w:pPr>
        <w:tabs>
          <w:tab w:val="left" w:pos="450"/>
        </w:tabs>
        <w:ind w:left="1170"/>
        <w:rPr>
          <w:rFonts w:asciiTheme="minorHAnsi" w:hAnsiTheme="minorHAnsi" w:cstheme="minorHAnsi"/>
          <w:sz w:val="22"/>
          <w:szCs w:val="22"/>
          <w:u w:val="single"/>
        </w:rPr>
      </w:pPr>
      <w:r w:rsidRPr="00863187">
        <w:rPr>
          <w:rFonts w:asciiTheme="minorHAnsi" w:hAnsiTheme="minorHAnsi" w:cstheme="minorHAnsi"/>
          <w:sz w:val="22"/>
          <w:szCs w:val="22"/>
          <w:u w:val="single"/>
        </w:rPr>
        <w:t>Example sequence on non- calibration days:</w:t>
      </w:r>
    </w:p>
    <w:p w14:paraId="55BE087C" w14:textId="7777777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t>CCV/LCS</w:t>
      </w:r>
    </w:p>
    <w:p w14:paraId="765873A8" w14:textId="7777777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t>MB/CCB</w:t>
      </w:r>
    </w:p>
    <w:p w14:paraId="3A59E27A" w14:textId="7777777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t>Samples 1-10</w:t>
      </w:r>
    </w:p>
    <w:p w14:paraId="25523245" w14:textId="7777777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t>CCV (same as the CCV/LCS above)</w:t>
      </w:r>
    </w:p>
    <w:p w14:paraId="5D5F53A3" w14:textId="7777777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t>CCB (same as the MB/CCB above)</w:t>
      </w:r>
    </w:p>
    <w:p w14:paraId="2D187480" w14:textId="77777777" w:rsidR="00863187" w:rsidRPr="00863187" w:rsidRDefault="00863187" w:rsidP="00863187">
      <w:pPr>
        <w:tabs>
          <w:tab w:val="left" w:pos="450"/>
        </w:tabs>
        <w:ind w:left="1170"/>
        <w:rPr>
          <w:rFonts w:asciiTheme="minorHAnsi" w:hAnsiTheme="minorHAnsi" w:cstheme="minorHAnsi"/>
          <w:sz w:val="22"/>
          <w:szCs w:val="22"/>
        </w:rPr>
      </w:pPr>
    </w:p>
    <w:p w14:paraId="0EE9AC93" w14:textId="017E7767" w:rsidR="00863187" w:rsidRPr="00863187" w:rsidRDefault="00863187" w:rsidP="00863187">
      <w:pPr>
        <w:tabs>
          <w:tab w:val="left" w:pos="450"/>
        </w:tabs>
        <w:ind w:left="1170"/>
        <w:rPr>
          <w:rFonts w:asciiTheme="minorHAnsi" w:hAnsiTheme="minorHAnsi" w:cstheme="minorHAnsi"/>
          <w:sz w:val="22"/>
          <w:szCs w:val="22"/>
        </w:rPr>
      </w:pPr>
      <w:r w:rsidRPr="00863187">
        <w:rPr>
          <w:rFonts w:asciiTheme="minorHAnsi" w:hAnsiTheme="minorHAnsi" w:cstheme="minorHAnsi"/>
          <w:sz w:val="22"/>
          <w:szCs w:val="22"/>
        </w:rPr>
        <w:lastRenderedPageBreak/>
        <w:t>If there are more than 20 samples, make sure to make another MB and LCS (labeling these MB-2 and LCS-2). Analyze MB-2 and LCS-2 prior to the 21</w:t>
      </w:r>
      <w:r w:rsidRPr="00863187">
        <w:rPr>
          <w:rFonts w:asciiTheme="minorHAnsi" w:hAnsiTheme="minorHAnsi" w:cstheme="minorHAnsi"/>
          <w:sz w:val="22"/>
          <w:szCs w:val="22"/>
          <w:vertAlign w:val="superscript"/>
        </w:rPr>
        <w:t>st</w:t>
      </w:r>
      <w:r w:rsidRPr="00863187">
        <w:rPr>
          <w:rFonts w:asciiTheme="minorHAnsi" w:hAnsiTheme="minorHAnsi" w:cstheme="minorHAnsi"/>
          <w:sz w:val="22"/>
          <w:szCs w:val="22"/>
        </w:rPr>
        <w:t xml:space="preserve"> sample.</w:t>
      </w:r>
    </w:p>
    <w:p w14:paraId="6BB74DDB" w14:textId="77777777" w:rsidR="00863187" w:rsidRPr="00690644" w:rsidRDefault="00863187" w:rsidP="00863187">
      <w:pPr>
        <w:tabs>
          <w:tab w:val="left" w:pos="450"/>
        </w:tabs>
        <w:ind w:left="1170"/>
        <w:rPr>
          <w:rFonts w:asciiTheme="minorHAnsi" w:hAnsiTheme="minorHAnsi" w:cstheme="minorHAnsi"/>
        </w:rPr>
      </w:pPr>
    </w:p>
    <w:p w14:paraId="6AFF3EB4" w14:textId="1CD8BF98" w:rsidR="005B48BF" w:rsidRPr="00670798" w:rsidRDefault="003A619C" w:rsidP="00A91BC6">
      <w:pPr>
        <w:pStyle w:val="ListParagraph"/>
        <w:numPr>
          <w:ilvl w:val="0"/>
          <w:numId w:val="13"/>
        </w:numPr>
        <w:tabs>
          <w:tab w:val="left" w:pos="450"/>
        </w:tabs>
        <w:spacing w:line="240" w:lineRule="auto"/>
        <w:rPr>
          <w:b/>
          <w:bCs/>
        </w:rPr>
      </w:pPr>
      <w:r w:rsidRPr="00670798">
        <w:rPr>
          <w:b/>
          <w:bCs/>
        </w:rPr>
        <w:t xml:space="preserve">Quality Control: </w:t>
      </w:r>
    </w:p>
    <w:p w14:paraId="6C4027D4" w14:textId="5D1572A1" w:rsidR="003A619C" w:rsidRDefault="003A619C" w:rsidP="005B48BF">
      <w:pPr>
        <w:pStyle w:val="ListParagraph"/>
        <w:tabs>
          <w:tab w:val="left" w:pos="450"/>
        </w:tabs>
        <w:spacing w:line="240" w:lineRule="auto"/>
        <w:ind w:left="450"/>
      </w:pPr>
      <w:r>
        <w:t>Each Analyst must have an IDC on file.</w:t>
      </w:r>
    </w:p>
    <w:p w14:paraId="62E9A4C2" w14:textId="0308E12A" w:rsidR="005B48BF" w:rsidRDefault="005B48BF" w:rsidP="00313B10">
      <w:pPr>
        <w:pStyle w:val="ListParagraph"/>
        <w:tabs>
          <w:tab w:val="left" w:pos="450"/>
        </w:tabs>
        <w:spacing w:line="240" w:lineRule="auto"/>
        <w:ind w:left="450"/>
      </w:pPr>
      <w:r>
        <w:t>The MDL/LOD study must be current (the Ongoing LOD needs to be recalculated within 13 months).</w:t>
      </w:r>
    </w:p>
    <w:p w14:paraId="06B2C2DB" w14:textId="77777777" w:rsidR="00313B10" w:rsidRDefault="00313B10" w:rsidP="00313B10">
      <w:pPr>
        <w:pStyle w:val="ListParagraph"/>
        <w:tabs>
          <w:tab w:val="left" w:pos="450"/>
        </w:tabs>
        <w:spacing w:line="240" w:lineRule="auto"/>
        <w:ind w:left="450"/>
      </w:pPr>
    </w:p>
    <w:p w14:paraId="5D1768A4" w14:textId="44DCF8C3" w:rsidR="00A91BC6" w:rsidRDefault="003A619C" w:rsidP="003A619C">
      <w:pPr>
        <w:pStyle w:val="ListParagraph"/>
        <w:tabs>
          <w:tab w:val="left" w:pos="450"/>
        </w:tabs>
        <w:spacing w:line="240" w:lineRule="auto"/>
        <w:ind w:left="450"/>
      </w:pPr>
      <w:r>
        <w:t>Table</w:t>
      </w:r>
    </w:p>
    <w:tbl>
      <w:tblPr>
        <w:tblStyle w:val="TableGrid"/>
        <w:tblW w:w="10435" w:type="dxa"/>
        <w:tblInd w:w="450" w:type="dxa"/>
        <w:tblLook w:val="04A0" w:firstRow="1" w:lastRow="0" w:firstColumn="1" w:lastColumn="0" w:noHBand="0" w:noVBand="1"/>
      </w:tblPr>
      <w:tblGrid>
        <w:gridCol w:w="2245"/>
        <w:gridCol w:w="3150"/>
        <w:gridCol w:w="1530"/>
        <w:gridCol w:w="3510"/>
      </w:tblGrid>
      <w:tr w:rsidR="005B48BF" w14:paraId="68BEFE1A" w14:textId="4DD11604" w:rsidTr="00000EF6">
        <w:tc>
          <w:tcPr>
            <w:tcW w:w="2245" w:type="dxa"/>
          </w:tcPr>
          <w:p w14:paraId="01783546" w14:textId="4806E0A6" w:rsidR="005B48BF" w:rsidRDefault="005B48BF" w:rsidP="003A619C">
            <w:pPr>
              <w:pStyle w:val="ListParagraph"/>
              <w:tabs>
                <w:tab w:val="left" w:pos="450"/>
              </w:tabs>
              <w:spacing w:line="240" w:lineRule="auto"/>
              <w:ind w:left="0"/>
            </w:pPr>
            <w:r>
              <w:t>Name of QC sample</w:t>
            </w:r>
          </w:p>
        </w:tc>
        <w:tc>
          <w:tcPr>
            <w:tcW w:w="3150" w:type="dxa"/>
          </w:tcPr>
          <w:p w14:paraId="7BA075A6" w14:textId="3D2EBA67" w:rsidR="005B48BF" w:rsidRDefault="005B48BF" w:rsidP="003A619C">
            <w:pPr>
              <w:pStyle w:val="ListParagraph"/>
              <w:tabs>
                <w:tab w:val="left" w:pos="450"/>
              </w:tabs>
              <w:spacing w:line="240" w:lineRule="auto"/>
              <w:ind w:left="0"/>
            </w:pPr>
            <w:r>
              <w:t>Analysis Frequency</w:t>
            </w:r>
          </w:p>
        </w:tc>
        <w:tc>
          <w:tcPr>
            <w:tcW w:w="1530" w:type="dxa"/>
          </w:tcPr>
          <w:p w14:paraId="55CE5C7D" w14:textId="3ED8CB4A" w:rsidR="005B48BF" w:rsidRDefault="00166A98" w:rsidP="005B48BF">
            <w:pPr>
              <w:pStyle w:val="ListParagraph"/>
              <w:tabs>
                <w:tab w:val="left" w:pos="450"/>
              </w:tabs>
              <w:spacing w:line="240" w:lineRule="auto"/>
              <w:ind w:left="0" w:right="-920"/>
            </w:pPr>
            <w:r>
              <w:t>Criteria</w:t>
            </w:r>
          </w:p>
        </w:tc>
        <w:tc>
          <w:tcPr>
            <w:tcW w:w="3510" w:type="dxa"/>
          </w:tcPr>
          <w:p w14:paraId="69467EB4" w14:textId="6034C808" w:rsidR="005B48BF" w:rsidRDefault="005B48BF" w:rsidP="005B48BF">
            <w:pPr>
              <w:pStyle w:val="ListParagraph"/>
              <w:tabs>
                <w:tab w:val="left" w:pos="450"/>
              </w:tabs>
              <w:spacing w:line="240" w:lineRule="auto"/>
              <w:ind w:left="0" w:right="-920"/>
            </w:pPr>
            <w:r>
              <w:t xml:space="preserve">Comments and </w:t>
            </w:r>
            <w:r w:rsidR="00863187">
              <w:t>corrective actions</w:t>
            </w:r>
          </w:p>
        </w:tc>
      </w:tr>
      <w:tr w:rsidR="005B48BF" w14:paraId="2F61D574" w14:textId="5077A4C5" w:rsidTr="00000EF6">
        <w:tc>
          <w:tcPr>
            <w:tcW w:w="2245" w:type="dxa"/>
          </w:tcPr>
          <w:p w14:paraId="77E076D2" w14:textId="77777777" w:rsidR="00D25176" w:rsidRDefault="005B48BF" w:rsidP="003A619C">
            <w:pPr>
              <w:pStyle w:val="ListParagraph"/>
              <w:tabs>
                <w:tab w:val="left" w:pos="450"/>
              </w:tabs>
              <w:spacing w:line="240" w:lineRule="auto"/>
              <w:ind w:left="0"/>
              <w:rPr>
                <w:b/>
                <w:bCs/>
              </w:rPr>
            </w:pPr>
            <w:r w:rsidRPr="00000EF6">
              <w:rPr>
                <w:b/>
                <w:bCs/>
              </w:rPr>
              <w:t xml:space="preserve">ICV </w:t>
            </w:r>
          </w:p>
          <w:p w14:paraId="02270B5C" w14:textId="66C6E8DE" w:rsidR="005B48BF" w:rsidRDefault="005B48BF" w:rsidP="003A619C">
            <w:pPr>
              <w:pStyle w:val="ListParagraph"/>
              <w:tabs>
                <w:tab w:val="left" w:pos="450"/>
              </w:tabs>
              <w:spacing w:line="240" w:lineRule="auto"/>
              <w:ind w:left="0"/>
            </w:pPr>
            <w:r>
              <w:t>Initial calibration verification</w:t>
            </w:r>
          </w:p>
        </w:tc>
        <w:tc>
          <w:tcPr>
            <w:tcW w:w="3150" w:type="dxa"/>
          </w:tcPr>
          <w:p w14:paraId="2EEB68B8" w14:textId="0D999251" w:rsidR="005B48BF" w:rsidRDefault="005B48BF" w:rsidP="003A619C">
            <w:pPr>
              <w:pStyle w:val="ListParagraph"/>
              <w:tabs>
                <w:tab w:val="left" w:pos="450"/>
              </w:tabs>
              <w:spacing w:line="240" w:lineRule="auto"/>
              <w:ind w:left="0"/>
            </w:pPr>
            <w:r>
              <w:t>After each calibration curve</w:t>
            </w:r>
          </w:p>
        </w:tc>
        <w:tc>
          <w:tcPr>
            <w:tcW w:w="1530" w:type="dxa"/>
          </w:tcPr>
          <w:p w14:paraId="181D1957" w14:textId="6AEE9BC2" w:rsidR="005B48BF" w:rsidRDefault="005B48BF" w:rsidP="003A619C">
            <w:pPr>
              <w:pStyle w:val="ListParagraph"/>
              <w:tabs>
                <w:tab w:val="left" w:pos="450"/>
              </w:tabs>
              <w:spacing w:line="240" w:lineRule="auto"/>
              <w:ind w:left="0"/>
            </w:pPr>
            <w:r>
              <w:t>90-110%</w:t>
            </w:r>
            <w:r w:rsidR="00D25176">
              <w:t xml:space="preserve"> recovery</w:t>
            </w:r>
          </w:p>
        </w:tc>
        <w:tc>
          <w:tcPr>
            <w:tcW w:w="3510" w:type="dxa"/>
          </w:tcPr>
          <w:p w14:paraId="18F8EA31" w14:textId="24D06E7E" w:rsidR="005B48BF" w:rsidRDefault="005B48BF" w:rsidP="00000EF6">
            <w:pPr>
              <w:pStyle w:val="ListParagraph"/>
              <w:tabs>
                <w:tab w:val="left" w:pos="450"/>
              </w:tabs>
              <w:spacing w:after="120" w:line="240" w:lineRule="auto"/>
              <w:ind w:left="0"/>
              <w:contextualSpacing w:val="0"/>
            </w:pPr>
            <w:r>
              <w:t>If the ICV fails to meet 90-110%, stop and correct the problem (remake the standard and reanalyze). If it still fails recalibrate.</w:t>
            </w:r>
          </w:p>
        </w:tc>
      </w:tr>
      <w:tr w:rsidR="005B48BF" w14:paraId="1A1D2073" w14:textId="203D1E5D" w:rsidTr="00000EF6">
        <w:tc>
          <w:tcPr>
            <w:tcW w:w="2245" w:type="dxa"/>
          </w:tcPr>
          <w:p w14:paraId="5B7AF6A6" w14:textId="77777777" w:rsidR="00D25176" w:rsidRDefault="005B48BF" w:rsidP="003A619C">
            <w:pPr>
              <w:pStyle w:val="ListParagraph"/>
              <w:tabs>
                <w:tab w:val="left" w:pos="450"/>
              </w:tabs>
              <w:spacing w:line="240" w:lineRule="auto"/>
              <w:ind w:left="0"/>
            </w:pPr>
            <w:r w:rsidRPr="00000EF6">
              <w:rPr>
                <w:b/>
                <w:bCs/>
              </w:rPr>
              <w:t>ICB</w:t>
            </w:r>
            <w:r>
              <w:t xml:space="preserve"> </w:t>
            </w:r>
          </w:p>
          <w:p w14:paraId="57469B7B" w14:textId="6BD30491" w:rsidR="005B48BF" w:rsidRDefault="005B48BF" w:rsidP="003A619C">
            <w:pPr>
              <w:pStyle w:val="ListParagraph"/>
              <w:tabs>
                <w:tab w:val="left" w:pos="450"/>
              </w:tabs>
              <w:spacing w:line="240" w:lineRule="auto"/>
              <w:ind w:left="0"/>
            </w:pPr>
            <w:r>
              <w:t xml:space="preserve">Initial calibration </w:t>
            </w:r>
            <w:proofErr w:type="spellStart"/>
            <w:r>
              <w:t>blnk</w:t>
            </w:r>
            <w:proofErr w:type="spellEnd"/>
          </w:p>
        </w:tc>
        <w:tc>
          <w:tcPr>
            <w:tcW w:w="3150" w:type="dxa"/>
          </w:tcPr>
          <w:p w14:paraId="4AC79D71" w14:textId="2EBAF331" w:rsidR="005B48BF" w:rsidRDefault="005B48BF" w:rsidP="003A619C">
            <w:pPr>
              <w:pStyle w:val="ListParagraph"/>
              <w:tabs>
                <w:tab w:val="left" w:pos="450"/>
              </w:tabs>
              <w:spacing w:line="240" w:lineRule="auto"/>
              <w:ind w:left="0"/>
            </w:pPr>
            <w:r>
              <w:t>After the ICV</w:t>
            </w:r>
          </w:p>
        </w:tc>
        <w:tc>
          <w:tcPr>
            <w:tcW w:w="1530" w:type="dxa"/>
          </w:tcPr>
          <w:p w14:paraId="66EFD722" w14:textId="18E7D951" w:rsidR="005B48BF" w:rsidRDefault="005B48BF" w:rsidP="003A619C">
            <w:pPr>
              <w:pStyle w:val="ListParagraph"/>
              <w:tabs>
                <w:tab w:val="left" w:pos="450"/>
              </w:tabs>
              <w:spacing w:line="240" w:lineRule="auto"/>
              <w:ind w:left="0"/>
            </w:pPr>
            <w:r>
              <w:t>&lt; LOD</w:t>
            </w:r>
          </w:p>
        </w:tc>
        <w:tc>
          <w:tcPr>
            <w:tcW w:w="3510" w:type="dxa"/>
          </w:tcPr>
          <w:p w14:paraId="63C290FA" w14:textId="461A5930" w:rsidR="005B48BF" w:rsidRDefault="005B48BF" w:rsidP="00000EF6">
            <w:pPr>
              <w:pStyle w:val="ListParagraph"/>
              <w:tabs>
                <w:tab w:val="left" w:pos="450"/>
              </w:tabs>
              <w:spacing w:after="120" w:line="240" w:lineRule="auto"/>
              <w:ind w:left="0"/>
              <w:contextualSpacing w:val="0"/>
            </w:pPr>
            <w:r>
              <w:t>If it is above the LOD then stop and fix the problem (recheck the blank).</w:t>
            </w:r>
          </w:p>
        </w:tc>
      </w:tr>
      <w:tr w:rsidR="005B48BF" w14:paraId="20730089" w14:textId="3A40B3B1" w:rsidTr="00000EF6">
        <w:tc>
          <w:tcPr>
            <w:tcW w:w="2245" w:type="dxa"/>
          </w:tcPr>
          <w:p w14:paraId="6A72A13C" w14:textId="39F5213C" w:rsidR="005B48BF" w:rsidRDefault="005B48BF" w:rsidP="003A619C">
            <w:pPr>
              <w:pStyle w:val="ListParagraph"/>
              <w:tabs>
                <w:tab w:val="left" w:pos="450"/>
              </w:tabs>
              <w:spacing w:line="240" w:lineRule="auto"/>
              <w:ind w:left="0"/>
            </w:pPr>
            <w:r w:rsidRPr="00000EF6">
              <w:rPr>
                <w:b/>
                <w:bCs/>
              </w:rPr>
              <w:t>CCV/LCS</w:t>
            </w:r>
            <w:r>
              <w:t xml:space="preserve"> </w:t>
            </w:r>
            <w:r w:rsidR="00D25176">
              <w:t xml:space="preserve">             </w:t>
            </w:r>
            <w:proofErr w:type="gramStart"/>
            <w:r w:rsidR="00D25176">
              <w:t xml:space="preserve">   </w:t>
            </w:r>
            <w:r>
              <w:t>(</w:t>
            </w:r>
            <w:proofErr w:type="gramEnd"/>
            <w:r>
              <w:t>c</w:t>
            </w:r>
            <w:r w:rsidR="004C2C22">
              <w:t>ombined continuing calibration verification and laboratory control sample)</w:t>
            </w:r>
          </w:p>
        </w:tc>
        <w:tc>
          <w:tcPr>
            <w:tcW w:w="3150" w:type="dxa"/>
          </w:tcPr>
          <w:p w14:paraId="33E5935B" w14:textId="471C841F" w:rsidR="00373137" w:rsidRDefault="004C2C22" w:rsidP="00000EF6">
            <w:pPr>
              <w:pStyle w:val="ListParagraph"/>
              <w:tabs>
                <w:tab w:val="left" w:pos="450"/>
              </w:tabs>
              <w:spacing w:after="120" w:line="240" w:lineRule="auto"/>
              <w:ind w:left="0"/>
              <w:contextualSpacing w:val="0"/>
            </w:pPr>
            <w:r>
              <w:t xml:space="preserve">As the CCV/LCS: </w:t>
            </w:r>
            <w:r w:rsidR="005B48BF">
              <w:t>Beginning of each day</w:t>
            </w:r>
            <w:r w:rsidR="00166A98">
              <w:t xml:space="preserve"> before analyzing samples</w:t>
            </w:r>
            <w:r>
              <w:t xml:space="preserve"> (</w:t>
            </w:r>
            <w:r w:rsidRPr="00166A98">
              <w:rPr>
                <w:i/>
                <w:iCs/>
              </w:rPr>
              <w:t>also meets frequency of the LCS for 20 samples or less</w:t>
            </w:r>
            <w:r>
              <w:t>)</w:t>
            </w:r>
            <w:r w:rsidR="00166A98">
              <w:t>.</w:t>
            </w:r>
          </w:p>
          <w:p w14:paraId="4AA0633F" w14:textId="3025600A" w:rsidR="004C2C22" w:rsidRDefault="004C2C22" w:rsidP="003A619C">
            <w:pPr>
              <w:pStyle w:val="ListParagraph"/>
              <w:tabs>
                <w:tab w:val="left" w:pos="450"/>
              </w:tabs>
              <w:spacing w:line="240" w:lineRule="auto"/>
              <w:ind w:left="0"/>
            </w:pPr>
            <w:r>
              <w:t>As the CCV this is also analyzed</w:t>
            </w:r>
            <w:r w:rsidR="005B48BF">
              <w:t xml:space="preserve"> after every 10 samples and at the end </w:t>
            </w:r>
            <w:r w:rsidR="00166A98">
              <w:t xml:space="preserve">if 350.1 is the reference method. </w:t>
            </w:r>
          </w:p>
        </w:tc>
        <w:tc>
          <w:tcPr>
            <w:tcW w:w="1530" w:type="dxa"/>
          </w:tcPr>
          <w:p w14:paraId="060C49AC" w14:textId="1A321691" w:rsidR="005B48BF" w:rsidRDefault="00D25176" w:rsidP="005B48BF">
            <w:pPr>
              <w:pStyle w:val="ListParagraph"/>
              <w:tabs>
                <w:tab w:val="left" w:pos="450"/>
              </w:tabs>
              <w:spacing w:line="240" w:lineRule="auto"/>
              <w:ind w:left="0"/>
            </w:pPr>
            <w:r>
              <w:t>90-110% recovery</w:t>
            </w:r>
          </w:p>
        </w:tc>
        <w:tc>
          <w:tcPr>
            <w:tcW w:w="3510" w:type="dxa"/>
          </w:tcPr>
          <w:p w14:paraId="5F3A6437" w14:textId="730456D2" w:rsidR="005B48BF" w:rsidRDefault="004C2C22" w:rsidP="003A619C">
            <w:pPr>
              <w:pStyle w:val="ListParagraph"/>
              <w:tabs>
                <w:tab w:val="left" w:pos="450"/>
              </w:tabs>
              <w:spacing w:line="240" w:lineRule="auto"/>
              <w:ind w:left="0"/>
            </w:pPr>
            <w:r>
              <w:t>If the CCV/LCS fails to meet 90-110%, stop and correct the problem (remake the standard and reanalyze). If it still fails recalibrate.</w:t>
            </w:r>
          </w:p>
        </w:tc>
      </w:tr>
      <w:tr w:rsidR="005B48BF" w14:paraId="57C2DA06" w14:textId="5E2386CB" w:rsidTr="00000EF6">
        <w:tc>
          <w:tcPr>
            <w:tcW w:w="2245" w:type="dxa"/>
          </w:tcPr>
          <w:p w14:paraId="76E85252" w14:textId="586FEFD7" w:rsidR="005B48BF" w:rsidRDefault="004C2C22" w:rsidP="003A619C">
            <w:pPr>
              <w:pStyle w:val="ListParagraph"/>
              <w:tabs>
                <w:tab w:val="left" w:pos="450"/>
              </w:tabs>
              <w:spacing w:line="240" w:lineRule="auto"/>
              <w:ind w:left="0"/>
            </w:pPr>
            <w:r w:rsidRPr="00000EF6">
              <w:rPr>
                <w:b/>
                <w:bCs/>
              </w:rPr>
              <w:t>MB</w:t>
            </w:r>
            <w:r w:rsidR="00000EF6" w:rsidRPr="00000EF6">
              <w:rPr>
                <w:b/>
                <w:bCs/>
              </w:rPr>
              <w:t>/CCB</w:t>
            </w:r>
            <w:r w:rsidR="00000EF6">
              <w:t xml:space="preserve"> </w:t>
            </w:r>
            <w:r w:rsidR="00D25176">
              <w:t xml:space="preserve">           </w:t>
            </w:r>
            <w:r>
              <w:t>Method blank</w:t>
            </w:r>
            <w:r w:rsidR="00D25176">
              <w:t xml:space="preserve"> and </w:t>
            </w:r>
            <w:r w:rsidR="00000EF6">
              <w:t>continuing calibration blank</w:t>
            </w:r>
            <w:r w:rsidR="00D25176">
              <w:t xml:space="preserve"> (combined)</w:t>
            </w:r>
          </w:p>
        </w:tc>
        <w:tc>
          <w:tcPr>
            <w:tcW w:w="3150" w:type="dxa"/>
          </w:tcPr>
          <w:p w14:paraId="045AB230" w14:textId="4337184D" w:rsidR="00D25176" w:rsidRDefault="00373137" w:rsidP="00D25176">
            <w:pPr>
              <w:pStyle w:val="ListParagraph"/>
              <w:tabs>
                <w:tab w:val="left" w:pos="450"/>
              </w:tabs>
              <w:spacing w:after="120" w:line="240" w:lineRule="auto"/>
              <w:ind w:left="0"/>
              <w:contextualSpacing w:val="0"/>
            </w:pPr>
            <w:r>
              <w:t>As the MB and CCB: Run after the CCV, prior to samples, and</w:t>
            </w:r>
            <w:r w:rsidR="00D25176">
              <w:t xml:space="preserve">        </w:t>
            </w:r>
            <w:r>
              <w:t xml:space="preserve"> </w:t>
            </w:r>
            <w:r w:rsidR="00D25176">
              <w:t xml:space="preserve"> </w:t>
            </w:r>
          </w:p>
          <w:p w14:paraId="19AD2102" w14:textId="09545C04" w:rsidR="005B48BF" w:rsidRDefault="00373137" w:rsidP="00000EF6">
            <w:pPr>
              <w:pStyle w:val="ListParagraph"/>
              <w:tabs>
                <w:tab w:val="left" w:pos="450"/>
              </w:tabs>
              <w:spacing w:after="120" w:line="240" w:lineRule="auto"/>
              <w:ind w:left="0"/>
            </w:pPr>
            <w:r>
              <w:t>as the MB analyzed with each batch</w:t>
            </w:r>
            <w:r w:rsidR="00166A98">
              <w:t xml:space="preserve"> maximum of 20 samples</w:t>
            </w:r>
          </w:p>
          <w:p w14:paraId="22B3E1A2" w14:textId="69E3B6BA" w:rsidR="00373137" w:rsidRDefault="00373137" w:rsidP="003A619C">
            <w:pPr>
              <w:pStyle w:val="ListParagraph"/>
              <w:tabs>
                <w:tab w:val="left" w:pos="450"/>
              </w:tabs>
              <w:spacing w:line="240" w:lineRule="auto"/>
              <w:ind w:left="0"/>
            </w:pPr>
          </w:p>
          <w:p w14:paraId="49AB09BA" w14:textId="16924762" w:rsidR="00373137" w:rsidRDefault="00373137" w:rsidP="003A619C">
            <w:pPr>
              <w:pStyle w:val="ListParagraph"/>
              <w:tabs>
                <w:tab w:val="left" w:pos="450"/>
              </w:tabs>
              <w:spacing w:line="240" w:lineRule="auto"/>
              <w:ind w:left="0"/>
            </w:pPr>
            <w:r>
              <w:t>As the CCB analyze it every 10 samples and at the end.</w:t>
            </w:r>
          </w:p>
        </w:tc>
        <w:tc>
          <w:tcPr>
            <w:tcW w:w="1530" w:type="dxa"/>
          </w:tcPr>
          <w:p w14:paraId="321AAC6C" w14:textId="2231A7FB" w:rsidR="005B48BF" w:rsidRDefault="00166A98" w:rsidP="003A619C">
            <w:pPr>
              <w:pStyle w:val="ListParagraph"/>
              <w:tabs>
                <w:tab w:val="left" w:pos="450"/>
              </w:tabs>
              <w:spacing w:line="240" w:lineRule="auto"/>
              <w:ind w:left="0"/>
            </w:pPr>
            <w:r>
              <w:t>&lt; LOD or</w:t>
            </w:r>
          </w:p>
          <w:p w14:paraId="6605FFA1" w14:textId="77777777" w:rsidR="00EA5410" w:rsidRDefault="00EA5410" w:rsidP="003A619C">
            <w:pPr>
              <w:pStyle w:val="ListParagraph"/>
              <w:tabs>
                <w:tab w:val="left" w:pos="450"/>
              </w:tabs>
              <w:spacing w:line="240" w:lineRule="auto"/>
              <w:ind w:left="0"/>
            </w:pPr>
          </w:p>
          <w:p w14:paraId="1F528C6C" w14:textId="3484B75B" w:rsidR="00166A98" w:rsidRDefault="00166A98" w:rsidP="003A619C">
            <w:pPr>
              <w:pStyle w:val="ListParagraph"/>
              <w:tabs>
                <w:tab w:val="left" w:pos="450"/>
              </w:tabs>
              <w:spacing w:line="240" w:lineRule="auto"/>
              <w:ind w:left="0"/>
            </w:pPr>
            <w:r>
              <w:t xml:space="preserve">&lt; 5% of permit limit or </w:t>
            </w:r>
          </w:p>
          <w:p w14:paraId="627AF5B9" w14:textId="77777777" w:rsidR="00EA5410" w:rsidRDefault="00EA5410" w:rsidP="003A619C">
            <w:pPr>
              <w:pStyle w:val="ListParagraph"/>
              <w:tabs>
                <w:tab w:val="left" w:pos="450"/>
              </w:tabs>
              <w:spacing w:line="240" w:lineRule="auto"/>
              <w:ind w:left="0"/>
            </w:pPr>
          </w:p>
          <w:p w14:paraId="41A0FAD0" w14:textId="64723706" w:rsidR="00166A98" w:rsidRDefault="00166A98" w:rsidP="003A619C">
            <w:pPr>
              <w:pStyle w:val="ListParagraph"/>
              <w:tabs>
                <w:tab w:val="left" w:pos="450"/>
              </w:tabs>
              <w:spacing w:line="240" w:lineRule="auto"/>
              <w:ind w:left="0"/>
            </w:pPr>
            <w:r>
              <w:t xml:space="preserve">&lt;10% of sample </w:t>
            </w:r>
          </w:p>
        </w:tc>
        <w:tc>
          <w:tcPr>
            <w:tcW w:w="3510" w:type="dxa"/>
          </w:tcPr>
          <w:p w14:paraId="13F6FA68" w14:textId="30D36B5D" w:rsidR="005B48BF" w:rsidRDefault="00060D05" w:rsidP="003A619C">
            <w:pPr>
              <w:pStyle w:val="ListParagraph"/>
              <w:tabs>
                <w:tab w:val="left" w:pos="450"/>
              </w:tabs>
              <w:spacing w:line="240" w:lineRule="auto"/>
              <w:ind w:left="0"/>
            </w:pPr>
            <w:r>
              <w:t>If the MB fails, r</w:t>
            </w:r>
            <w:r w:rsidR="00166A98">
              <w:t>echeck the MB to confirm (optional), qualify if criteria is not met</w:t>
            </w:r>
          </w:p>
        </w:tc>
      </w:tr>
      <w:tr w:rsidR="005B48BF" w14:paraId="5B6E0CB3" w14:textId="04F12766" w:rsidTr="00000EF6">
        <w:tc>
          <w:tcPr>
            <w:tcW w:w="2245" w:type="dxa"/>
          </w:tcPr>
          <w:p w14:paraId="3AEBF45A" w14:textId="77777777" w:rsidR="005B48BF" w:rsidRDefault="00166A98" w:rsidP="003A619C">
            <w:pPr>
              <w:pStyle w:val="ListParagraph"/>
              <w:tabs>
                <w:tab w:val="left" w:pos="450"/>
              </w:tabs>
              <w:spacing w:line="240" w:lineRule="auto"/>
              <w:ind w:left="0"/>
            </w:pPr>
            <w:r w:rsidRPr="00D25176">
              <w:rPr>
                <w:b/>
                <w:bCs/>
              </w:rPr>
              <w:t xml:space="preserve">PT </w:t>
            </w:r>
            <w:r>
              <w:t xml:space="preserve">from an approved provider. </w:t>
            </w:r>
          </w:p>
          <w:p w14:paraId="5B7BF25E" w14:textId="77777777" w:rsidR="00370067" w:rsidRDefault="00370067" w:rsidP="003A619C">
            <w:pPr>
              <w:pStyle w:val="ListParagraph"/>
              <w:tabs>
                <w:tab w:val="left" w:pos="450"/>
              </w:tabs>
              <w:spacing w:line="240" w:lineRule="auto"/>
              <w:ind w:left="0"/>
            </w:pPr>
          </w:p>
          <w:p w14:paraId="6932F790" w14:textId="70632682" w:rsidR="00370067" w:rsidRDefault="00370067" w:rsidP="003A619C">
            <w:pPr>
              <w:pStyle w:val="ListParagraph"/>
              <w:tabs>
                <w:tab w:val="left" w:pos="450"/>
              </w:tabs>
              <w:spacing w:line="240" w:lineRule="auto"/>
              <w:ind w:left="0"/>
            </w:pPr>
            <w:r>
              <w:t>Prepare according to directions and analyze it with the same procedure used for samples.</w:t>
            </w:r>
          </w:p>
        </w:tc>
        <w:tc>
          <w:tcPr>
            <w:tcW w:w="3150" w:type="dxa"/>
          </w:tcPr>
          <w:p w14:paraId="05D526BC" w14:textId="77777777" w:rsidR="005B48BF" w:rsidRDefault="00166A98" w:rsidP="003A619C">
            <w:pPr>
              <w:pStyle w:val="ListParagraph"/>
              <w:tabs>
                <w:tab w:val="left" w:pos="450"/>
              </w:tabs>
              <w:spacing w:line="240" w:lineRule="auto"/>
              <w:ind w:left="0"/>
            </w:pPr>
            <w:r>
              <w:t>Annually (Jan-August)</w:t>
            </w:r>
          </w:p>
          <w:p w14:paraId="635031EB" w14:textId="5D3BA920" w:rsidR="00166A98" w:rsidRDefault="00166A98" w:rsidP="003A619C">
            <w:pPr>
              <w:pStyle w:val="ListParagraph"/>
              <w:tabs>
                <w:tab w:val="left" w:pos="450"/>
              </w:tabs>
              <w:spacing w:line="240" w:lineRule="auto"/>
              <w:ind w:left="0"/>
            </w:pPr>
            <w:r>
              <w:t>Report the result with the correct method code.</w:t>
            </w:r>
          </w:p>
        </w:tc>
        <w:tc>
          <w:tcPr>
            <w:tcW w:w="1530" w:type="dxa"/>
          </w:tcPr>
          <w:p w14:paraId="1697DFB6" w14:textId="253BB7A9" w:rsidR="005B48BF" w:rsidRDefault="00166A98" w:rsidP="003A619C">
            <w:pPr>
              <w:pStyle w:val="ListParagraph"/>
              <w:tabs>
                <w:tab w:val="left" w:pos="450"/>
              </w:tabs>
              <w:spacing w:line="240" w:lineRule="auto"/>
              <w:ind w:left="0"/>
            </w:pPr>
            <w:r>
              <w:t>Acceptable result by PT vendor</w:t>
            </w:r>
          </w:p>
        </w:tc>
        <w:tc>
          <w:tcPr>
            <w:tcW w:w="3510" w:type="dxa"/>
          </w:tcPr>
          <w:p w14:paraId="1F61B054" w14:textId="77777777" w:rsidR="005B48BF" w:rsidRDefault="00166A98" w:rsidP="003A619C">
            <w:pPr>
              <w:pStyle w:val="ListParagraph"/>
              <w:tabs>
                <w:tab w:val="left" w:pos="450"/>
              </w:tabs>
              <w:spacing w:line="240" w:lineRule="auto"/>
              <w:ind w:left="0"/>
            </w:pPr>
            <w:r>
              <w:t>If it fails, review possible causes. A new PT will be needed. If the laboratory is unsure what caused the failure, ordering a blind QC to analyze before analyzing the 2</w:t>
            </w:r>
            <w:r w:rsidRPr="00166A98">
              <w:rPr>
                <w:vertAlign w:val="superscript"/>
              </w:rPr>
              <w:t>nd</w:t>
            </w:r>
            <w:r>
              <w:t xml:space="preserve"> PT is optional.</w:t>
            </w:r>
          </w:p>
          <w:p w14:paraId="32812FB3" w14:textId="5E7DF704" w:rsidR="00166A98" w:rsidRDefault="00166A98" w:rsidP="003A619C">
            <w:pPr>
              <w:pStyle w:val="ListParagraph"/>
              <w:tabs>
                <w:tab w:val="left" w:pos="450"/>
              </w:tabs>
              <w:spacing w:line="240" w:lineRule="auto"/>
              <w:ind w:left="0"/>
            </w:pPr>
            <w:r>
              <w:t>If it fails a 2</w:t>
            </w:r>
            <w:r w:rsidRPr="00166A98">
              <w:rPr>
                <w:vertAlign w:val="superscript"/>
              </w:rPr>
              <w:t>nd</w:t>
            </w:r>
            <w:r>
              <w:t xml:space="preserve"> time, reach out to your laboratory contact at WDNR for assistance.</w:t>
            </w:r>
          </w:p>
        </w:tc>
      </w:tr>
    </w:tbl>
    <w:p w14:paraId="1900895D" w14:textId="77777777" w:rsidR="00670798" w:rsidRDefault="00670798" w:rsidP="00373137">
      <w:pPr>
        <w:tabs>
          <w:tab w:val="left" w:pos="450"/>
        </w:tabs>
        <w:rPr>
          <w:rFonts w:asciiTheme="minorHAnsi" w:hAnsiTheme="minorHAnsi" w:cstheme="minorHAnsi"/>
          <w:sz w:val="22"/>
          <w:szCs w:val="22"/>
          <w:u w:val="single"/>
        </w:rPr>
      </w:pPr>
    </w:p>
    <w:p w14:paraId="723C7552" w14:textId="77777777" w:rsidR="00373137" w:rsidRDefault="00373137" w:rsidP="00373137">
      <w:pPr>
        <w:tabs>
          <w:tab w:val="left" w:pos="450"/>
        </w:tabs>
      </w:pPr>
    </w:p>
    <w:p w14:paraId="6D02DF93" w14:textId="57FBD13D" w:rsidR="008D7750" w:rsidRPr="004F04F5" w:rsidRDefault="004F04F5" w:rsidP="00A76F9D">
      <w:pPr>
        <w:pStyle w:val="10SOP"/>
        <w:numPr>
          <w:ilvl w:val="0"/>
          <w:numId w:val="0"/>
        </w:numPr>
        <w:rPr>
          <w:rFonts w:asciiTheme="minorHAnsi" w:hAnsiTheme="minorHAnsi" w:cstheme="minorHAnsi"/>
        </w:rPr>
      </w:pPr>
      <w:r w:rsidRPr="004F04F5">
        <w:rPr>
          <w:rFonts w:asciiTheme="minorHAnsi" w:hAnsiTheme="minorHAnsi" w:cstheme="minorHAnsi"/>
        </w:rPr>
        <w:lastRenderedPageBreak/>
        <w:t xml:space="preserve">10.0 </w:t>
      </w:r>
      <w:r w:rsidR="008D7750" w:rsidRPr="004F04F5">
        <w:rPr>
          <w:rFonts w:asciiTheme="minorHAnsi" w:hAnsiTheme="minorHAnsi" w:cstheme="minorHAnsi"/>
        </w:rPr>
        <w:t xml:space="preserve">Procedure for </w:t>
      </w:r>
      <w:r w:rsidR="00F779EB" w:rsidRPr="004F04F5">
        <w:rPr>
          <w:rFonts w:asciiTheme="minorHAnsi" w:hAnsiTheme="minorHAnsi" w:cstheme="minorHAnsi"/>
        </w:rPr>
        <w:t>sample</w:t>
      </w:r>
      <w:r w:rsidR="008D7750" w:rsidRPr="004F04F5">
        <w:rPr>
          <w:rFonts w:asciiTheme="minorHAnsi" w:hAnsiTheme="minorHAnsi" w:cstheme="minorHAnsi"/>
        </w:rPr>
        <w:t xml:space="preserve"> analysis </w:t>
      </w:r>
    </w:p>
    <w:p w14:paraId="2BA49737" w14:textId="65B703F2" w:rsidR="00A76F9D" w:rsidRPr="004F04F5" w:rsidRDefault="004F04F5" w:rsidP="00A76F9D">
      <w:pPr>
        <w:pStyle w:val="10SOP"/>
        <w:numPr>
          <w:ilvl w:val="0"/>
          <w:numId w:val="0"/>
        </w:numPr>
        <w:rPr>
          <w:rFonts w:asciiTheme="minorHAnsi" w:hAnsiTheme="minorHAnsi" w:cstheme="minorHAnsi"/>
          <w:b w:val="0"/>
          <w:bCs/>
          <w:i/>
          <w:iCs/>
        </w:rPr>
      </w:pPr>
      <w:r w:rsidRPr="004F04F5">
        <w:rPr>
          <w:rFonts w:asciiTheme="minorHAnsi" w:hAnsiTheme="minorHAnsi" w:cstheme="minorHAnsi"/>
          <w:b w:val="0"/>
          <w:bCs/>
          <w:i/>
          <w:iCs/>
        </w:rPr>
        <w:t>Make sure to also follow the</w:t>
      </w:r>
      <w:r w:rsidR="008D7750" w:rsidRPr="004F04F5">
        <w:rPr>
          <w:rFonts w:asciiTheme="minorHAnsi" w:hAnsiTheme="minorHAnsi" w:cstheme="minorHAnsi"/>
          <w:b w:val="0"/>
          <w:bCs/>
          <w:i/>
          <w:iCs/>
        </w:rPr>
        <w:t xml:space="preserve"> manufacturer</w:t>
      </w:r>
      <w:r w:rsidR="00F779EB" w:rsidRPr="004F04F5">
        <w:rPr>
          <w:rFonts w:asciiTheme="minorHAnsi" w:hAnsiTheme="minorHAnsi" w:cstheme="minorHAnsi"/>
          <w:b w:val="0"/>
          <w:bCs/>
          <w:i/>
          <w:iCs/>
        </w:rPr>
        <w:t>’</w:t>
      </w:r>
      <w:r w:rsidR="008D7750" w:rsidRPr="004F04F5">
        <w:rPr>
          <w:rFonts w:asciiTheme="minorHAnsi" w:hAnsiTheme="minorHAnsi" w:cstheme="minorHAnsi"/>
          <w:b w:val="0"/>
          <w:bCs/>
          <w:i/>
          <w:iCs/>
        </w:rPr>
        <w:t>s instructions</w:t>
      </w:r>
      <w:r w:rsidRPr="004F04F5">
        <w:rPr>
          <w:rFonts w:asciiTheme="minorHAnsi" w:hAnsiTheme="minorHAnsi" w:cstheme="minorHAnsi"/>
          <w:b w:val="0"/>
          <w:bCs/>
          <w:i/>
          <w:iCs/>
        </w:rPr>
        <w:t>.</w:t>
      </w:r>
    </w:p>
    <w:p w14:paraId="6F42FF57" w14:textId="3C3B6AC6" w:rsidR="00384CA2" w:rsidRPr="00EA5072" w:rsidRDefault="002D20E9" w:rsidP="00EA5072">
      <w:pPr>
        <w:pStyle w:val="10SOP"/>
        <w:tabs>
          <w:tab w:val="clear" w:pos="720"/>
          <w:tab w:val="num" w:pos="450"/>
        </w:tabs>
        <w:spacing w:after="120"/>
        <w:ind w:left="446" w:hanging="266"/>
        <w:rPr>
          <w:rFonts w:asciiTheme="minorHAnsi" w:hAnsiTheme="minorHAnsi" w:cstheme="minorHAnsi"/>
          <w:b w:val="0"/>
          <w:bCs/>
        </w:rPr>
      </w:pPr>
      <w:r w:rsidRPr="00EA5072">
        <w:rPr>
          <w:rFonts w:asciiTheme="minorHAnsi" w:hAnsiTheme="minorHAnsi" w:cstheme="minorHAnsi"/>
          <w:b w:val="0"/>
          <w:bCs/>
        </w:rPr>
        <w:t xml:space="preserve">If the samples were preserved with acid, neutralize to a pH of </w:t>
      </w:r>
      <w:r w:rsidR="00B1352F" w:rsidRPr="00EA5072">
        <w:rPr>
          <w:rFonts w:asciiTheme="minorHAnsi" w:hAnsiTheme="minorHAnsi" w:cstheme="minorHAnsi"/>
          <w:b w:val="0"/>
          <w:bCs/>
        </w:rPr>
        <w:t xml:space="preserve">6-8 </w:t>
      </w:r>
      <w:r w:rsidRPr="00EA5072">
        <w:rPr>
          <w:rFonts w:asciiTheme="minorHAnsi" w:hAnsiTheme="minorHAnsi" w:cstheme="minorHAnsi"/>
          <w:b w:val="0"/>
          <w:bCs/>
        </w:rPr>
        <w:t xml:space="preserve">with </w:t>
      </w:r>
      <w:r w:rsidR="00F2335A" w:rsidRPr="00EA5072">
        <w:rPr>
          <w:rFonts w:asciiTheme="minorHAnsi" w:hAnsiTheme="minorHAnsi" w:cstheme="minorHAnsi"/>
          <w:b w:val="0"/>
          <w:bCs/>
        </w:rPr>
        <w:t xml:space="preserve">5 N </w:t>
      </w:r>
      <w:r w:rsidRPr="00EA5072">
        <w:rPr>
          <w:rFonts w:asciiTheme="minorHAnsi" w:hAnsiTheme="minorHAnsi" w:cstheme="minorHAnsi"/>
          <w:b w:val="0"/>
          <w:bCs/>
        </w:rPr>
        <w:t>sodium hydroxide</w:t>
      </w:r>
      <w:r w:rsidR="00F2335A" w:rsidRPr="00EA5072">
        <w:rPr>
          <w:rFonts w:asciiTheme="minorHAnsi" w:hAnsiTheme="minorHAnsi" w:cstheme="minorHAnsi"/>
          <w:b w:val="0"/>
          <w:bCs/>
        </w:rPr>
        <w:t xml:space="preserve"> solution</w:t>
      </w:r>
      <w:r w:rsidRPr="00EA5072">
        <w:rPr>
          <w:rFonts w:asciiTheme="minorHAnsi" w:hAnsiTheme="minorHAnsi" w:cstheme="minorHAnsi"/>
          <w:b w:val="0"/>
          <w:bCs/>
        </w:rPr>
        <w:t>.  Use either a pH meter or pH paper.</w:t>
      </w:r>
      <w:r w:rsidR="00EA5072">
        <w:rPr>
          <w:rFonts w:asciiTheme="minorHAnsi" w:hAnsiTheme="minorHAnsi" w:cstheme="minorHAnsi"/>
          <w:b w:val="0"/>
          <w:bCs/>
        </w:rPr>
        <w:t xml:space="preserve"> Record the neutralization </w:t>
      </w:r>
      <w:proofErr w:type="spellStart"/>
      <w:r w:rsidR="00EA5072">
        <w:rPr>
          <w:rFonts w:asciiTheme="minorHAnsi" w:hAnsiTheme="minorHAnsi" w:cstheme="minorHAnsi"/>
          <w:b w:val="0"/>
          <w:bCs/>
        </w:rPr>
        <w:t>pH.</w:t>
      </w:r>
      <w:proofErr w:type="spellEnd"/>
    </w:p>
    <w:p w14:paraId="784A9E0B" w14:textId="17C8C0C5" w:rsidR="00D14783" w:rsidRDefault="00E607F3" w:rsidP="00313B10">
      <w:pPr>
        <w:pStyle w:val="111SOP"/>
        <w:numPr>
          <w:ilvl w:val="0"/>
          <w:numId w:val="0"/>
        </w:numPr>
        <w:spacing w:after="120"/>
        <w:ind w:left="720"/>
        <w:rPr>
          <w:rFonts w:asciiTheme="minorHAnsi" w:hAnsiTheme="minorHAnsi" w:cstheme="minorHAnsi"/>
        </w:rPr>
      </w:pPr>
      <w:bookmarkStart w:id="2" w:name="_Hlk513535767"/>
      <w:r w:rsidRPr="00EA5072">
        <w:rPr>
          <w:rFonts w:asciiTheme="minorHAnsi" w:hAnsiTheme="minorHAnsi" w:cstheme="minorHAnsi"/>
        </w:rPr>
        <w:t>The amount of 5 N sodium hydroxide will be about the same as the amount of 5 N sulfuric acid used to preserve the sample.</w:t>
      </w:r>
      <w:r w:rsidR="00EA5072">
        <w:rPr>
          <w:rFonts w:asciiTheme="minorHAnsi" w:hAnsiTheme="minorHAnsi" w:cstheme="minorHAnsi"/>
        </w:rPr>
        <w:t xml:space="preserve"> Using less than a 2% dilution when adding the acid or base would not require adjusting the sample for a</w:t>
      </w:r>
      <w:r w:rsidR="00C6423D">
        <w:rPr>
          <w:rFonts w:asciiTheme="minorHAnsi" w:hAnsiTheme="minorHAnsi" w:cstheme="minorHAnsi"/>
        </w:rPr>
        <w:t xml:space="preserve"> </w:t>
      </w:r>
      <w:r w:rsidR="00EA5072">
        <w:rPr>
          <w:rFonts w:asciiTheme="minorHAnsi" w:hAnsiTheme="minorHAnsi" w:cstheme="minorHAnsi"/>
        </w:rPr>
        <w:t>dilution.</w:t>
      </w:r>
    </w:p>
    <w:p w14:paraId="03ED672B" w14:textId="77777777" w:rsidR="004A7B62" w:rsidRPr="00EA5072" w:rsidRDefault="004A7B62" w:rsidP="004A7B62">
      <w:pPr>
        <w:pStyle w:val="10SOP"/>
        <w:tabs>
          <w:tab w:val="clear" w:pos="720"/>
          <w:tab w:val="num" w:pos="630"/>
        </w:tabs>
        <w:spacing w:after="120"/>
        <w:ind w:left="540" w:hanging="360"/>
        <w:rPr>
          <w:rFonts w:asciiTheme="minorHAnsi" w:hAnsiTheme="minorHAnsi" w:cstheme="minorHAnsi"/>
          <w:b w:val="0"/>
          <w:bCs/>
        </w:rPr>
      </w:pPr>
      <w:r w:rsidRPr="00EA5072">
        <w:rPr>
          <w:rFonts w:asciiTheme="minorHAnsi" w:hAnsiTheme="minorHAnsi" w:cstheme="minorHAnsi"/>
          <w:b w:val="0"/>
          <w:bCs/>
        </w:rPr>
        <w:t xml:space="preserve">Warm all samples and reagents to room temperature.  </w:t>
      </w:r>
    </w:p>
    <w:p w14:paraId="459B9B09" w14:textId="6543826A" w:rsidR="004A7B62" w:rsidRPr="00EA5072" w:rsidRDefault="004A7B62" w:rsidP="004A7B62">
      <w:pPr>
        <w:pStyle w:val="10SOP"/>
        <w:tabs>
          <w:tab w:val="clear" w:pos="720"/>
          <w:tab w:val="num" w:pos="630"/>
        </w:tabs>
        <w:spacing w:after="120"/>
        <w:ind w:left="540" w:hanging="360"/>
        <w:rPr>
          <w:rFonts w:asciiTheme="minorHAnsi" w:hAnsiTheme="minorHAnsi" w:cstheme="minorHAnsi"/>
          <w:b w:val="0"/>
          <w:bCs/>
        </w:rPr>
      </w:pPr>
      <w:r w:rsidRPr="00EA5072">
        <w:rPr>
          <w:rFonts w:asciiTheme="minorHAnsi" w:hAnsiTheme="minorHAnsi" w:cstheme="minorHAnsi"/>
          <w:b w:val="0"/>
          <w:bCs/>
        </w:rPr>
        <w:t>Turn on the spectrophotometer and press the program # (make sure the wavelength is set to 690 ± 5 nm).</w:t>
      </w:r>
    </w:p>
    <w:p w14:paraId="7D978DDE" w14:textId="77777777" w:rsidR="004A7B62" w:rsidRPr="00EA5072" w:rsidRDefault="004A7B62" w:rsidP="004A7B62">
      <w:pPr>
        <w:pStyle w:val="10SOP"/>
        <w:tabs>
          <w:tab w:val="clear" w:pos="720"/>
          <w:tab w:val="num" w:pos="630"/>
        </w:tabs>
        <w:spacing w:after="120"/>
        <w:ind w:left="540" w:hanging="360"/>
        <w:rPr>
          <w:rFonts w:asciiTheme="minorHAnsi" w:hAnsiTheme="minorHAnsi" w:cstheme="minorHAnsi"/>
          <w:b w:val="0"/>
          <w:bCs/>
        </w:rPr>
      </w:pPr>
      <w:r w:rsidRPr="00EA5072">
        <w:rPr>
          <w:rFonts w:asciiTheme="minorHAnsi" w:hAnsiTheme="minorHAnsi" w:cstheme="minorHAnsi"/>
          <w:b w:val="0"/>
          <w:bCs/>
        </w:rPr>
        <w:t>Label all vials that will be needed including vials for QC samples.</w:t>
      </w:r>
    </w:p>
    <w:p w14:paraId="276F4FA7" w14:textId="77777777" w:rsidR="004A7B62" w:rsidRPr="00EA5072" w:rsidRDefault="004A7B62" w:rsidP="004A7B62">
      <w:pPr>
        <w:pStyle w:val="10SOP"/>
        <w:tabs>
          <w:tab w:val="clear" w:pos="720"/>
          <w:tab w:val="num" w:pos="630"/>
        </w:tabs>
        <w:spacing w:after="120"/>
        <w:ind w:left="540" w:hanging="360"/>
        <w:rPr>
          <w:rFonts w:asciiTheme="minorHAnsi" w:hAnsiTheme="minorHAnsi" w:cstheme="minorHAnsi"/>
          <w:b w:val="0"/>
          <w:bCs/>
        </w:rPr>
      </w:pPr>
      <w:r w:rsidRPr="00EA5072">
        <w:rPr>
          <w:rFonts w:asciiTheme="minorHAnsi" w:hAnsiTheme="minorHAnsi" w:cstheme="minorHAnsi"/>
          <w:b w:val="0"/>
          <w:bCs/>
        </w:rPr>
        <w:t xml:space="preserve">Carefully remove the protective foil lid from the </w:t>
      </w:r>
      <w:proofErr w:type="spellStart"/>
      <w:r w:rsidRPr="00EA5072">
        <w:rPr>
          <w:rFonts w:asciiTheme="minorHAnsi" w:hAnsiTheme="minorHAnsi" w:cstheme="minorHAnsi"/>
          <w:b w:val="0"/>
          <w:bCs/>
          <w:szCs w:val="22"/>
        </w:rPr>
        <w:t>DosiCap</w:t>
      </w:r>
      <w:proofErr w:type="spellEnd"/>
      <w:r w:rsidRPr="00EA5072">
        <w:rPr>
          <w:rFonts w:asciiTheme="minorHAnsi" w:hAnsiTheme="minorHAnsi" w:cstheme="minorHAnsi"/>
          <w:b w:val="0"/>
          <w:bCs/>
          <w:szCs w:val="22"/>
        </w:rPr>
        <w:t xml:space="preserve">™ </w:t>
      </w:r>
      <w:r w:rsidRPr="00EA5072">
        <w:rPr>
          <w:rFonts w:asciiTheme="minorHAnsi" w:hAnsiTheme="minorHAnsi" w:cstheme="minorHAnsi"/>
          <w:b w:val="0"/>
          <w:bCs/>
          <w:i/>
          <w:iCs/>
          <w:szCs w:val="22"/>
        </w:rPr>
        <w:t>Zip</w:t>
      </w:r>
      <w:r w:rsidRPr="00EA5072">
        <w:rPr>
          <w:rFonts w:asciiTheme="minorHAnsi" w:hAnsiTheme="minorHAnsi" w:cstheme="minorHAnsi"/>
          <w:b w:val="0"/>
          <w:bCs/>
          <w:szCs w:val="22"/>
        </w:rPr>
        <w:t>. Unscrew the cap from the vial.</w:t>
      </w:r>
    </w:p>
    <w:p w14:paraId="744F8BDD" w14:textId="77777777" w:rsidR="004A7B62" w:rsidRPr="00EA5072" w:rsidRDefault="004A7B62" w:rsidP="004A7B62">
      <w:pPr>
        <w:pStyle w:val="10SOP"/>
        <w:tabs>
          <w:tab w:val="clear" w:pos="720"/>
          <w:tab w:val="num" w:pos="630"/>
        </w:tabs>
        <w:spacing w:after="120"/>
        <w:ind w:left="540" w:hanging="360"/>
        <w:rPr>
          <w:rFonts w:asciiTheme="minorHAnsi" w:hAnsiTheme="minorHAnsi" w:cstheme="minorHAnsi"/>
          <w:b w:val="0"/>
          <w:bCs/>
        </w:rPr>
      </w:pPr>
      <w:r w:rsidRPr="00EA5072">
        <w:rPr>
          <w:rFonts w:asciiTheme="minorHAnsi" w:hAnsiTheme="minorHAnsi" w:cstheme="minorHAnsi"/>
          <w:b w:val="0"/>
          <w:bCs/>
        </w:rPr>
        <w:t>Pipet 5 mL of samples and QC samples to the appropriate labeled vials.</w:t>
      </w:r>
    </w:p>
    <w:p w14:paraId="2AB58117" w14:textId="77777777" w:rsidR="004A7B62" w:rsidRPr="00EA5072" w:rsidRDefault="004A7B62" w:rsidP="004A7B62">
      <w:pPr>
        <w:pStyle w:val="10SOP"/>
        <w:tabs>
          <w:tab w:val="clear" w:pos="720"/>
          <w:tab w:val="num" w:pos="540"/>
        </w:tabs>
        <w:spacing w:after="120"/>
        <w:ind w:left="540" w:hanging="360"/>
        <w:rPr>
          <w:rFonts w:asciiTheme="minorHAnsi" w:hAnsiTheme="minorHAnsi" w:cstheme="minorHAnsi"/>
          <w:b w:val="0"/>
          <w:bCs/>
        </w:rPr>
      </w:pPr>
      <w:r w:rsidRPr="00EA5072">
        <w:rPr>
          <w:rFonts w:asciiTheme="minorHAnsi" w:hAnsiTheme="minorHAnsi" w:cstheme="minorHAnsi"/>
          <w:b w:val="0"/>
          <w:bCs/>
        </w:rPr>
        <w:t xml:space="preserve">Zero the spectrophotometer with a method blank sample with no reagent from under the </w:t>
      </w:r>
      <w:proofErr w:type="spellStart"/>
      <w:r w:rsidRPr="00EA5072">
        <w:rPr>
          <w:rFonts w:asciiTheme="minorHAnsi" w:hAnsiTheme="minorHAnsi" w:cstheme="minorHAnsi"/>
          <w:b w:val="0"/>
          <w:bCs/>
        </w:rPr>
        <w:t>DosiCap</w:t>
      </w:r>
      <w:proofErr w:type="spellEnd"/>
      <w:r w:rsidRPr="00EA5072">
        <w:rPr>
          <w:rFonts w:asciiTheme="minorHAnsi" w:hAnsiTheme="minorHAnsi" w:cstheme="minorHAnsi"/>
          <w:b w:val="0"/>
          <w:bCs/>
        </w:rPr>
        <w:t>™ added (this is the instrument blank).  Insert the vial, close the cover, and press “ZERO” to zero the meter.</w:t>
      </w:r>
    </w:p>
    <w:p w14:paraId="1026271A" w14:textId="77777777" w:rsidR="004A7B62" w:rsidRPr="00EA5072" w:rsidRDefault="004A7B62" w:rsidP="004A7B62">
      <w:pPr>
        <w:pStyle w:val="10SOP"/>
        <w:tabs>
          <w:tab w:val="clear" w:pos="720"/>
          <w:tab w:val="num" w:pos="540"/>
        </w:tabs>
        <w:spacing w:after="120"/>
        <w:ind w:left="540" w:hanging="360"/>
        <w:rPr>
          <w:rFonts w:asciiTheme="minorHAnsi" w:hAnsiTheme="minorHAnsi" w:cstheme="minorHAnsi"/>
          <w:b w:val="0"/>
          <w:bCs/>
        </w:rPr>
      </w:pPr>
      <w:r w:rsidRPr="00EA5072">
        <w:rPr>
          <w:rFonts w:asciiTheme="minorHAnsi" w:hAnsiTheme="minorHAnsi" w:cstheme="minorHAnsi"/>
          <w:b w:val="0"/>
          <w:bCs/>
          <w:szCs w:val="22"/>
        </w:rPr>
        <w:t xml:space="preserve">Flip the </w:t>
      </w:r>
      <w:proofErr w:type="spellStart"/>
      <w:r w:rsidRPr="00EA5072">
        <w:rPr>
          <w:rFonts w:asciiTheme="minorHAnsi" w:hAnsiTheme="minorHAnsi" w:cstheme="minorHAnsi"/>
          <w:b w:val="0"/>
          <w:bCs/>
          <w:szCs w:val="22"/>
        </w:rPr>
        <w:t>DosiCap</w:t>
      </w:r>
      <w:r w:rsidRPr="00EA5072">
        <w:rPr>
          <w:rFonts w:asciiTheme="minorHAnsi" w:hAnsiTheme="minorHAnsi" w:cstheme="minorHAnsi"/>
          <w:b w:val="0"/>
          <w:bCs/>
          <w:szCs w:val="22"/>
          <w:vertAlign w:val="superscript"/>
        </w:rPr>
        <w:t>TM</w:t>
      </w:r>
      <w:proofErr w:type="spellEnd"/>
      <w:r w:rsidRPr="00EA5072">
        <w:rPr>
          <w:rFonts w:asciiTheme="minorHAnsi" w:hAnsiTheme="minorHAnsi" w:cstheme="minorHAnsi"/>
          <w:b w:val="0"/>
          <w:bCs/>
          <w:szCs w:val="22"/>
        </w:rPr>
        <w:t xml:space="preserve"> </w:t>
      </w:r>
      <w:r w:rsidRPr="00EA5072">
        <w:rPr>
          <w:rFonts w:asciiTheme="minorHAnsi" w:hAnsiTheme="minorHAnsi" w:cstheme="minorHAnsi"/>
          <w:b w:val="0"/>
          <w:bCs/>
          <w:i/>
          <w:iCs/>
          <w:szCs w:val="22"/>
        </w:rPr>
        <w:t xml:space="preserve">Zip </w:t>
      </w:r>
      <w:r w:rsidRPr="00EA5072">
        <w:rPr>
          <w:rFonts w:asciiTheme="minorHAnsi" w:hAnsiTheme="minorHAnsi" w:cstheme="minorHAnsi"/>
          <w:b w:val="0"/>
          <w:bCs/>
          <w:szCs w:val="22"/>
        </w:rPr>
        <w:t>over so that the reagent side faces the vial. Screw the cap tightly onto the vial</w:t>
      </w:r>
      <w:r w:rsidRPr="00EA5072">
        <w:rPr>
          <w:rFonts w:asciiTheme="minorHAnsi" w:hAnsiTheme="minorHAnsi" w:cstheme="minorHAnsi"/>
          <w:b w:val="0"/>
          <w:bCs/>
        </w:rPr>
        <w:t>.</w:t>
      </w:r>
    </w:p>
    <w:p w14:paraId="22B6B876" w14:textId="77777777" w:rsidR="004A7B62" w:rsidRPr="00EA5072" w:rsidRDefault="004A7B62" w:rsidP="004A7B62">
      <w:pPr>
        <w:pStyle w:val="10SOP"/>
        <w:tabs>
          <w:tab w:val="clear" w:pos="720"/>
          <w:tab w:val="num" w:pos="540"/>
        </w:tabs>
        <w:spacing w:after="120"/>
        <w:ind w:left="540" w:hanging="360"/>
        <w:rPr>
          <w:rFonts w:asciiTheme="minorHAnsi" w:hAnsiTheme="minorHAnsi" w:cstheme="minorHAnsi"/>
          <w:b w:val="0"/>
          <w:bCs/>
        </w:rPr>
      </w:pPr>
      <w:r w:rsidRPr="00EA5072">
        <w:rPr>
          <w:rFonts w:asciiTheme="minorHAnsi" w:hAnsiTheme="minorHAnsi" w:cstheme="minorHAnsi"/>
          <w:b w:val="0"/>
          <w:bCs/>
        </w:rPr>
        <w:t>Shake the capped vial 2 to 3 times to dissolve the reagent in the cap.</w:t>
      </w:r>
    </w:p>
    <w:p w14:paraId="56CF3A31" w14:textId="77777777" w:rsidR="004A7B62" w:rsidRPr="00EA5072" w:rsidRDefault="004A7B62" w:rsidP="004A7B62">
      <w:pPr>
        <w:pStyle w:val="10SOP"/>
        <w:tabs>
          <w:tab w:val="clear" w:pos="720"/>
          <w:tab w:val="num" w:pos="540"/>
        </w:tabs>
        <w:spacing w:after="120"/>
        <w:ind w:left="540" w:hanging="360"/>
        <w:rPr>
          <w:rFonts w:asciiTheme="minorHAnsi" w:hAnsiTheme="minorHAnsi" w:cstheme="minorHAnsi"/>
          <w:b w:val="0"/>
          <w:bCs/>
        </w:rPr>
      </w:pPr>
      <w:r w:rsidRPr="00EA5072">
        <w:rPr>
          <w:rFonts w:asciiTheme="minorHAnsi" w:hAnsiTheme="minorHAnsi" w:cstheme="minorHAnsi"/>
          <w:b w:val="0"/>
          <w:bCs/>
          <w:szCs w:val="22"/>
        </w:rPr>
        <w:t xml:space="preserve">Verify that the reagent has dissolved by looking down through the open end of the </w:t>
      </w:r>
      <w:proofErr w:type="spellStart"/>
      <w:r w:rsidRPr="00EA5072">
        <w:rPr>
          <w:rFonts w:asciiTheme="minorHAnsi" w:hAnsiTheme="minorHAnsi" w:cstheme="minorHAnsi"/>
          <w:b w:val="0"/>
          <w:bCs/>
          <w:szCs w:val="22"/>
        </w:rPr>
        <w:t>DosiCap</w:t>
      </w:r>
      <w:r w:rsidRPr="00EA5072">
        <w:rPr>
          <w:rFonts w:asciiTheme="minorHAnsi" w:hAnsiTheme="minorHAnsi" w:cstheme="minorHAnsi"/>
          <w:b w:val="0"/>
          <w:bCs/>
          <w:szCs w:val="22"/>
          <w:vertAlign w:val="superscript"/>
        </w:rPr>
        <w:t>TM</w:t>
      </w:r>
      <w:proofErr w:type="spellEnd"/>
      <w:r w:rsidRPr="00EA5072">
        <w:rPr>
          <w:rFonts w:asciiTheme="minorHAnsi" w:hAnsiTheme="minorHAnsi" w:cstheme="minorHAnsi"/>
          <w:b w:val="0"/>
          <w:bCs/>
          <w:szCs w:val="22"/>
        </w:rPr>
        <w:t xml:space="preserve"> </w:t>
      </w:r>
      <w:r w:rsidRPr="00EA5072">
        <w:rPr>
          <w:rFonts w:asciiTheme="minorHAnsi" w:hAnsiTheme="minorHAnsi" w:cstheme="minorHAnsi"/>
          <w:b w:val="0"/>
          <w:bCs/>
          <w:i/>
          <w:iCs/>
          <w:szCs w:val="22"/>
        </w:rPr>
        <w:t>Zip</w:t>
      </w:r>
      <w:r w:rsidRPr="00EA5072">
        <w:rPr>
          <w:rFonts w:asciiTheme="minorHAnsi" w:hAnsiTheme="minorHAnsi" w:cstheme="minorHAnsi"/>
          <w:b w:val="0"/>
          <w:bCs/>
        </w:rPr>
        <w:t>.</w:t>
      </w:r>
    </w:p>
    <w:p w14:paraId="66F853E6" w14:textId="77777777" w:rsidR="004A7B62" w:rsidRPr="00EA5072" w:rsidRDefault="004A7B62" w:rsidP="004A7B62">
      <w:pPr>
        <w:pStyle w:val="10SOP"/>
        <w:tabs>
          <w:tab w:val="clear" w:pos="720"/>
          <w:tab w:val="num" w:pos="540"/>
        </w:tabs>
        <w:spacing w:after="120"/>
        <w:ind w:left="540" w:hanging="360"/>
        <w:rPr>
          <w:rFonts w:asciiTheme="minorHAnsi" w:hAnsiTheme="minorHAnsi" w:cstheme="minorHAnsi"/>
          <w:b w:val="0"/>
          <w:bCs/>
        </w:rPr>
      </w:pPr>
      <w:r w:rsidRPr="00EA5072">
        <w:rPr>
          <w:rFonts w:asciiTheme="minorHAnsi" w:hAnsiTheme="minorHAnsi" w:cstheme="minorHAnsi"/>
          <w:b w:val="0"/>
          <w:bCs/>
        </w:rPr>
        <w:t>Set the timer for 15 minutes.  Try to be consistent for all samples.</w:t>
      </w:r>
    </w:p>
    <w:p w14:paraId="5FB7802F" w14:textId="77777777" w:rsidR="004A7B62" w:rsidRPr="00EA5072" w:rsidRDefault="004A7B62" w:rsidP="004A7B62">
      <w:pPr>
        <w:pStyle w:val="10SOP"/>
        <w:tabs>
          <w:tab w:val="clear" w:pos="720"/>
          <w:tab w:val="num" w:pos="540"/>
        </w:tabs>
        <w:spacing w:after="120"/>
        <w:ind w:left="540" w:hanging="360"/>
        <w:rPr>
          <w:rFonts w:asciiTheme="minorHAnsi" w:hAnsiTheme="minorHAnsi" w:cstheme="minorHAnsi"/>
          <w:b w:val="0"/>
          <w:bCs/>
        </w:rPr>
      </w:pPr>
      <w:r w:rsidRPr="00EA5072">
        <w:rPr>
          <w:rFonts w:asciiTheme="minorHAnsi" w:hAnsiTheme="minorHAnsi" w:cstheme="minorHAnsi"/>
          <w:b w:val="0"/>
          <w:bCs/>
          <w:szCs w:val="22"/>
        </w:rPr>
        <w:t>After the timer goes off, invert the sample an additional 2 to 3 times to mix</w:t>
      </w:r>
      <w:r w:rsidRPr="00EA5072">
        <w:rPr>
          <w:rFonts w:asciiTheme="minorHAnsi" w:hAnsiTheme="minorHAnsi" w:cstheme="minorHAnsi"/>
          <w:b w:val="0"/>
          <w:bCs/>
        </w:rPr>
        <w:t>.  The color remains stable for an additional 15 minutes after the timer expires.</w:t>
      </w:r>
    </w:p>
    <w:p w14:paraId="19D1C4C8" w14:textId="77777777" w:rsidR="004A7B62" w:rsidRPr="00EA5072" w:rsidRDefault="004A7B62" w:rsidP="004A7B62">
      <w:pPr>
        <w:pStyle w:val="10SOP"/>
        <w:tabs>
          <w:tab w:val="clear" w:pos="720"/>
          <w:tab w:val="num" w:pos="540"/>
        </w:tabs>
        <w:spacing w:after="120"/>
        <w:ind w:left="540" w:hanging="360"/>
        <w:rPr>
          <w:rFonts w:asciiTheme="minorHAnsi" w:hAnsiTheme="minorHAnsi" w:cstheme="minorHAnsi"/>
          <w:b w:val="0"/>
          <w:bCs/>
        </w:rPr>
      </w:pPr>
      <w:r w:rsidRPr="00EA5072">
        <w:rPr>
          <w:rFonts w:asciiTheme="minorHAnsi" w:hAnsiTheme="minorHAnsi" w:cstheme="minorHAnsi"/>
          <w:b w:val="0"/>
          <w:bCs/>
        </w:rPr>
        <w:t>Thoroughly clean the outside of the prepared vial, insert it into the cell holder, push “READ,” and record the absorbance reading on the ammonia bench sheet.</w:t>
      </w:r>
    </w:p>
    <w:p w14:paraId="1F76EA53" w14:textId="77777777" w:rsidR="004A7B62" w:rsidRPr="00EA5072" w:rsidRDefault="004A7B62" w:rsidP="004A7B62">
      <w:pPr>
        <w:pStyle w:val="10SOP"/>
        <w:tabs>
          <w:tab w:val="clear" w:pos="720"/>
          <w:tab w:val="num" w:pos="540"/>
        </w:tabs>
        <w:spacing w:after="120"/>
        <w:ind w:left="540" w:hanging="360"/>
        <w:rPr>
          <w:rFonts w:asciiTheme="minorHAnsi" w:hAnsiTheme="minorHAnsi" w:cstheme="minorHAnsi"/>
          <w:b w:val="0"/>
          <w:bCs/>
        </w:rPr>
      </w:pPr>
      <w:r w:rsidRPr="00EA5072">
        <w:rPr>
          <w:rFonts w:asciiTheme="minorHAnsi" w:hAnsiTheme="minorHAnsi" w:cstheme="minorHAnsi"/>
          <w:b w:val="0"/>
          <w:bCs/>
        </w:rPr>
        <w:t>To see the absorbance reading, press “shift ABS,” then “READ.”</w:t>
      </w:r>
    </w:p>
    <w:p w14:paraId="30083870" w14:textId="77777777" w:rsidR="004A7B62" w:rsidRPr="00EA5072" w:rsidRDefault="004A7B62" w:rsidP="004A7B62">
      <w:pPr>
        <w:pStyle w:val="10SOP"/>
        <w:tabs>
          <w:tab w:val="clear" w:pos="720"/>
          <w:tab w:val="num" w:pos="540"/>
        </w:tabs>
        <w:spacing w:after="120"/>
        <w:ind w:left="540" w:hanging="360"/>
        <w:rPr>
          <w:rFonts w:asciiTheme="minorHAnsi" w:hAnsiTheme="minorHAnsi" w:cstheme="minorHAnsi"/>
          <w:b w:val="0"/>
          <w:bCs/>
        </w:rPr>
      </w:pPr>
      <w:r w:rsidRPr="00EA5072">
        <w:rPr>
          <w:rFonts w:asciiTheme="minorHAnsi" w:hAnsiTheme="minorHAnsi" w:cstheme="minorHAnsi"/>
          <w:b w:val="0"/>
          <w:bCs/>
        </w:rPr>
        <w:t>If samples have color or turbidity, add the sample to a vial but do not remove the foil lid.  Put the cap on the vial and zero the spectrophotometer (</w:t>
      </w:r>
      <w:proofErr w:type="gramStart"/>
      <w:r w:rsidRPr="00EA5072">
        <w:rPr>
          <w:rFonts w:asciiTheme="minorHAnsi" w:hAnsiTheme="minorHAnsi" w:cstheme="minorHAnsi"/>
          <w:b w:val="0"/>
          <w:bCs/>
        </w:rPr>
        <w:t>similar to</w:t>
      </w:r>
      <w:proofErr w:type="gramEnd"/>
      <w:r w:rsidRPr="00EA5072">
        <w:rPr>
          <w:rFonts w:asciiTheme="minorHAnsi" w:hAnsiTheme="minorHAnsi" w:cstheme="minorHAnsi"/>
          <w:b w:val="0"/>
          <w:bCs/>
        </w:rPr>
        <w:t xml:space="preserve"> zeroing with the instrument blank but with a portion of unreacted sample). </w:t>
      </w:r>
    </w:p>
    <w:p w14:paraId="4669E2B3" w14:textId="78AB1054" w:rsidR="004A7B62" w:rsidRDefault="004A7B62" w:rsidP="004A7B62">
      <w:pPr>
        <w:pStyle w:val="10SOP"/>
        <w:tabs>
          <w:tab w:val="clear" w:pos="720"/>
          <w:tab w:val="num" w:pos="540"/>
          <w:tab w:val="left" w:pos="630"/>
          <w:tab w:val="left" w:pos="810"/>
        </w:tabs>
        <w:spacing w:after="120"/>
        <w:ind w:left="540" w:hanging="270"/>
        <w:rPr>
          <w:rFonts w:asciiTheme="minorHAnsi" w:hAnsiTheme="minorHAnsi" w:cstheme="minorHAnsi"/>
          <w:b w:val="0"/>
          <w:bCs/>
        </w:rPr>
      </w:pPr>
      <w:r w:rsidRPr="00EA5072">
        <w:rPr>
          <w:rFonts w:asciiTheme="minorHAnsi" w:hAnsiTheme="minorHAnsi" w:cstheme="minorHAnsi"/>
          <w:b w:val="0"/>
          <w:bCs/>
        </w:rPr>
        <w:t>If any sample has an absorbance reading higher than the highest standard in the calibration curve, the sample must be diluted and reanalyzed.</w:t>
      </w:r>
      <w:r w:rsidR="00222FAE">
        <w:rPr>
          <w:rFonts w:asciiTheme="minorHAnsi" w:hAnsiTheme="minorHAnsi" w:cstheme="minorHAnsi"/>
          <w:b w:val="0"/>
          <w:bCs/>
        </w:rPr>
        <w:t xml:space="preserve"> Assess this as a part of the data assessment.</w:t>
      </w:r>
    </w:p>
    <w:p w14:paraId="71298DF8" w14:textId="77777777" w:rsidR="004A7B62" w:rsidRDefault="004A7B62" w:rsidP="004A7B62">
      <w:pPr>
        <w:pStyle w:val="10SOP"/>
        <w:numPr>
          <w:ilvl w:val="0"/>
          <w:numId w:val="0"/>
        </w:numPr>
        <w:tabs>
          <w:tab w:val="left" w:pos="630"/>
          <w:tab w:val="left" w:pos="810"/>
        </w:tabs>
        <w:spacing w:after="120"/>
        <w:ind w:left="540"/>
        <w:rPr>
          <w:rFonts w:asciiTheme="minorHAnsi" w:hAnsiTheme="minorHAnsi" w:cstheme="minorHAnsi"/>
          <w:b w:val="0"/>
          <w:bCs/>
        </w:rPr>
      </w:pPr>
      <w:r>
        <w:rPr>
          <w:rFonts w:asciiTheme="minorHAnsi" w:hAnsiTheme="minorHAnsi" w:cstheme="minorHAnsi"/>
          <w:b w:val="0"/>
          <w:bCs/>
        </w:rPr>
        <w:t xml:space="preserve">To dilute the sample, estimate a concentration that will be within the calibration range (nearest the middle of the curve is recommended). Dilute the sample in a new vial using distilled water. Record the initial and final volumes. </w:t>
      </w:r>
    </w:p>
    <w:p w14:paraId="623849BE" w14:textId="77777777" w:rsidR="004A7B62" w:rsidRDefault="004A7B62" w:rsidP="004A7B62">
      <w:pPr>
        <w:pStyle w:val="10SOP"/>
        <w:tabs>
          <w:tab w:val="clear" w:pos="720"/>
          <w:tab w:val="num" w:pos="540"/>
        </w:tabs>
        <w:spacing w:after="120"/>
        <w:ind w:left="547" w:hanging="360"/>
      </w:pPr>
      <w:r w:rsidRPr="004A103C">
        <w:rPr>
          <w:rFonts w:asciiTheme="minorHAnsi" w:hAnsiTheme="minorHAnsi" w:cstheme="minorHAnsi"/>
          <w:b w:val="0"/>
          <w:bCs/>
        </w:rPr>
        <w:t xml:space="preserve">Enter the dilution factor into the </w:t>
      </w:r>
      <w:proofErr w:type="spellStart"/>
      <w:r w:rsidRPr="004A103C">
        <w:rPr>
          <w:rFonts w:asciiTheme="minorHAnsi" w:hAnsiTheme="minorHAnsi" w:cstheme="minorHAnsi"/>
          <w:b w:val="0"/>
          <w:bCs/>
        </w:rPr>
        <w:t>benchsheet</w:t>
      </w:r>
      <w:proofErr w:type="spellEnd"/>
      <w:r w:rsidRPr="004A103C">
        <w:rPr>
          <w:rFonts w:asciiTheme="minorHAnsi" w:hAnsiTheme="minorHAnsi" w:cstheme="minorHAnsi"/>
          <w:b w:val="0"/>
          <w:bCs/>
        </w:rPr>
        <w:t xml:space="preserve"> if needed. Make sure to adjust the result, the LOD and LOQ by the dilution factors</w:t>
      </w:r>
      <w:r w:rsidRPr="004A103C">
        <w:t>.</w:t>
      </w:r>
    </w:p>
    <w:p w14:paraId="2471F888" w14:textId="0FAE3CB7" w:rsidR="004A7B62" w:rsidRPr="004A7B62" w:rsidRDefault="004A7B62" w:rsidP="004A7B62">
      <w:pPr>
        <w:pStyle w:val="10SOP"/>
        <w:tabs>
          <w:tab w:val="clear" w:pos="720"/>
          <w:tab w:val="num" w:pos="450"/>
          <w:tab w:val="num" w:pos="540"/>
        </w:tabs>
        <w:spacing w:after="120"/>
        <w:ind w:left="547" w:hanging="360"/>
      </w:pPr>
      <w:r>
        <w:rPr>
          <w:rFonts w:asciiTheme="minorHAnsi" w:hAnsiTheme="minorHAnsi" w:cstheme="minorHAnsi"/>
          <w:b w:val="0"/>
          <w:bCs/>
        </w:rPr>
        <w:t>If the result is less than the LOD, report &lt; that value.</w:t>
      </w:r>
    </w:p>
    <w:p w14:paraId="2A5BF4B9" w14:textId="60B50845" w:rsidR="004A7B62" w:rsidRPr="004A103C" w:rsidRDefault="004A7B62" w:rsidP="004A7B62">
      <w:pPr>
        <w:pStyle w:val="10SOP"/>
        <w:tabs>
          <w:tab w:val="clear" w:pos="720"/>
          <w:tab w:val="num" w:pos="450"/>
          <w:tab w:val="num" w:pos="540"/>
        </w:tabs>
        <w:spacing w:after="120"/>
        <w:ind w:left="547" w:hanging="360"/>
      </w:pPr>
      <w:r>
        <w:rPr>
          <w:rFonts w:asciiTheme="minorHAnsi" w:hAnsiTheme="minorHAnsi" w:cstheme="minorHAnsi"/>
          <w:b w:val="0"/>
          <w:bCs/>
        </w:rPr>
        <w:t>Qualifiers</w:t>
      </w:r>
      <w:r w:rsidR="00222FAE">
        <w:rPr>
          <w:rFonts w:asciiTheme="minorHAnsi" w:hAnsiTheme="minorHAnsi" w:cstheme="minorHAnsi"/>
          <w:b w:val="0"/>
          <w:bCs/>
        </w:rPr>
        <w:t xml:space="preserve"> (after Data Assessment):</w:t>
      </w:r>
    </w:p>
    <w:p w14:paraId="02E4382A" w14:textId="6FFE935F" w:rsidR="004A7B62" w:rsidRDefault="004A7B62" w:rsidP="004A7B62">
      <w:pPr>
        <w:pStyle w:val="111SOP"/>
        <w:numPr>
          <w:ilvl w:val="0"/>
          <w:numId w:val="0"/>
        </w:numPr>
        <w:spacing w:after="120"/>
        <w:rPr>
          <w:rFonts w:asciiTheme="minorHAnsi" w:hAnsiTheme="minorHAnsi" w:cstheme="minorHAnsi"/>
        </w:rPr>
      </w:pPr>
    </w:p>
    <w:p w14:paraId="456DE894" w14:textId="77777777" w:rsidR="004A7B62" w:rsidRPr="004A103C" w:rsidRDefault="004A7B62" w:rsidP="004A7B62">
      <w:pPr>
        <w:pStyle w:val="10SOP"/>
        <w:numPr>
          <w:ilvl w:val="0"/>
          <w:numId w:val="0"/>
        </w:numPr>
        <w:tabs>
          <w:tab w:val="num" w:pos="450"/>
          <w:tab w:val="num" w:pos="540"/>
        </w:tabs>
        <w:spacing w:after="0"/>
        <w:ind w:left="540" w:hanging="90"/>
      </w:pPr>
      <w:r w:rsidRPr="004A103C">
        <w:rPr>
          <w:rFonts w:asciiTheme="minorHAnsi" w:hAnsiTheme="minorHAnsi" w:cstheme="minorHAnsi"/>
          <w:b w:val="0"/>
          <w:bCs/>
        </w:rPr>
        <w:lastRenderedPageBreak/>
        <w:t xml:space="preserve">If the MB did not meet the criteria, make sure to qualify the affected data. </w:t>
      </w:r>
    </w:p>
    <w:p w14:paraId="24804844" w14:textId="77777777" w:rsidR="004A7B62" w:rsidRDefault="004A7B62" w:rsidP="004A7B62">
      <w:pPr>
        <w:pStyle w:val="10SOP"/>
        <w:numPr>
          <w:ilvl w:val="0"/>
          <w:numId w:val="0"/>
        </w:numPr>
        <w:tabs>
          <w:tab w:val="left" w:pos="630"/>
          <w:tab w:val="left" w:pos="810"/>
        </w:tabs>
        <w:spacing w:after="0"/>
        <w:ind w:left="450"/>
        <w:rPr>
          <w:rFonts w:asciiTheme="minorHAnsi" w:hAnsiTheme="minorHAnsi" w:cstheme="minorHAnsi"/>
          <w:b w:val="0"/>
          <w:bCs/>
        </w:rPr>
      </w:pPr>
      <w:r>
        <w:rPr>
          <w:rFonts w:asciiTheme="minorHAnsi" w:hAnsiTheme="minorHAnsi" w:cstheme="minorHAnsi"/>
          <w:b w:val="0"/>
          <w:bCs/>
        </w:rPr>
        <w:t>If the LCS did not meet the criteria, and it is also the CCV, fix the problem prior to analyzing samples.</w:t>
      </w:r>
    </w:p>
    <w:p w14:paraId="68610BA7" w14:textId="77777777" w:rsidR="004A7B62" w:rsidRDefault="004A7B62" w:rsidP="004A7B62">
      <w:pPr>
        <w:pStyle w:val="10SOP"/>
        <w:numPr>
          <w:ilvl w:val="0"/>
          <w:numId w:val="0"/>
        </w:numPr>
        <w:tabs>
          <w:tab w:val="left" w:pos="630"/>
          <w:tab w:val="left" w:pos="810"/>
        </w:tabs>
        <w:spacing w:after="0"/>
        <w:ind w:left="450"/>
        <w:rPr>
          <w:rFonts w:asciiTheme="minorHAnsi" w:hAnsiTheme="minorHAnsi" w:cstheme="minorHAnsi"/>
          <w:b w:val="0"/>
          <w:bCs/>
        </w:rPr>
      </w:pPr>
      <w:r>
        <w:rPr>
          <w:rFonts w:asciiTheme="minorHAnsi" w:hAnsiTheme="minorHAnsi" w:cstheme="minorHAnsi"/>
          <w:b w:val="0"/>
          <w:bCs/>
        </w:rPr>
        <w:t>If the LCS is not the same as the CCV then qualify the affected sample data.</w:t>
      </w:r>
    </w:p>
    <w:p w14:paraId="6E08F349" w14:textId="77777777" w:rsidR="004A7B62" w:rsidRDefault="004A7B62" w:rsidP="004A7B62">
      <w:pPr>
        <w:pStyle w:val="10SOP"/>
        <w:numPr>
          <w:ilvl w:val="0"/>
          <w:numId w:val="0"/>
        </w:numPr>
        <w:tabs>
          <w:tab w:val="left" w:pos="630"/>
          <w:tab w:val="left" w:pos="810"/>
        </w:tabs>
        <w:spacing w:after="0"/>
        <w:ind w:left="450"/>
        <w:rPr>
          <w:rFonts w:asciiTheme="minorHAnsi" w:hAnsiTheme="minorHAnsi" w:cstheme="minorHAnsi"/>
          <w:b w:val="0"/>
          <w:bCs/>
        </w:rPr>
      </w:pPr>
      <w:r>
        <w:rPr>
          <w:rFonts w:asciiTheme="minorHAnsi" w:hAnsiTheme="minorHAnsi" w:cstheme="minorHAnsi"/>
          <w:b w:val="0"/>
          <w:bCs/>
        </w:rPr>
        <w:t>Report results with any comments/qualifiers in the eDMR.</w:t>
      </w:r>
    </w:p>
    <w:p w14:paraId="686A2DC1" w14:textId="77777777" w:rsidR="004A7B62" w:rsidRDefault="004A7B62" w:rsidP="004A7B62">
      <w:pPr>
        <w:pStyle w:val="10SOP"/>
        <w:numPr>
          <w:ilvl w:val="0"/>
          <w:numId w:val="0"/>
        </w:numPr>
        <w:tabs>
          <w:tab w:val="left" w:pos="630"/>
          <w:tab w:val="left" w:pos="810"/>
        </w:tabs>
        <w:spacing w:after="0"/>
        <w:ind w:left="450"/>
        <w:rPr>
          <w:rFonts w:asciiTheme="minorHAnsi" w:hAnsiTheme="minorHAnsi" w:cstheme="minorHAnsi"/>
          <w:b w:val="0"/>
          <w:bCs/>
        </w:rPr>
      </w:pPr>
    </w:p>
    <w:p w14:paraId="4C6A373B" w14:textId="77777777" w:rsidR="004A7B62" w:rsidRDefault="004A7B62" w:rsidP="002070A7">
      <w:pPr>
        <w:pStyle w:val="10SOP"/>
        <w:tabs>
          <w:tab w:val="clear" w:pos="720"/>
          <w:tab w:val="num" w:pos="450"/>
        </w:tabs>
        <w:ind w:left="450" w:hanging="450"/>
        <w:rPr>
          <w:rFonts w:asciiTheme="minorHAnsi" w:hAnsiTheme="minorHAnsi" w:cstheme="minorHAnsi"/>
          <w:b w:val="0"/>
          <w:bCs/>
        </w:rPr>
      </w:pPr>
      <w:r w:rsidRPr="00C6423D">
        <w:rPr>
          <w:rFonts w:asciiTheme="minorHAnsi" w:hAnsiTheme="minorHAnsi" w:cstheme="minorHAnsi"/>
          <w:b w:val="0"/>
          <w:bCs/>
        </w:rPr>
        <w:t>Enter any failures into the Corrective Action Log</w:t>
      </w:r>
      <w:r>
        <w:rPr>
          <w:rFonts w:asciiTheme="minorHAnsi" w:hAnsiTheme="minorHAnsi" w:cstheme="minorHAnsi"/>
          <w:b w:val="0"/>
          <w:bCs/>
        </w:rPr>
        <w:t>, filling out as much detail as needed. The goal is to make the necessary adjustments to prevent the failure from happening again.</w:t>
      </w:r>
    </w:p>
    <w:p w14:paraId="14689C39" w14:textId="2ED3D564" w:rsidR="004A7B62" w:rsidRPr="004A7B62" w:rsidRDefault="004A7B62" w:rsidP="004A7B62">
      <w:pPr>
        <w:pStyle w:val="10SOP"/>
        <w:tabs>
          <w:tab w:val="clear" w:pos="720"/>
          <w:tab w:val="num" w:pos="450"/>
        </w:tabs>
        <w:rPr>
          <w:rFonts w:asciiTheme="minorHAnsi" w:hAnsiTheme="minorHAnsi" w:cstheme="minorHAnsi"/>
          <w:b w:val="0"/>
          <w:bCs/>
        </w:rPr>
      </w:pPr>
      <w:r>
        <w:rPr>
          <w:rFonts w:asciiTheme="minorHAnsi" w:hAnsiTheme="minorHAnsi" w:cstheme="minorHAnsi"/>
          <w:b w:val="0"/>
          <w:bCs/>
        </w:rPr>
        <w:t>Reach out for technical assistance if the problem is not resolved.</w:t>
      </w:r>
    </w:p>
    <w:bookmarkEnd w:id="2"/>
    <w:p w14:paraId="225E4878" w14:textId="3EEEBCD6" w:rsidR="00F609CE" w:rsidRPr="00C6423D" w:rsidRDefault="00F609CE" w:rsidP="00C6423D">
      <w:pPr>
        <w:pStyle w:val="10SOP"/>
        <w:numPr>
          <w:ilvl w:val="0"/>
          <w:numId w:val="0"/>
        </w:numPr>
        <w:ind w:left="720" w:hanging="720"/>
        <w:rPr>
          <w:rFonts w:asciiTheme="minorHAnsi" w:hAnsiTheme="minorHAnsi" w:cstheme="minorHAnsi"/>
        </w:rPr>
      </w:pPr>
      <w:r w:rsidRPr="00C6423D">
        <w:rPr>
          <w:rFonts w:asciiTheme="minorHAnsi" w:hAnsiTheme="minorHAnsi" w:cstheme="minorHAnsi"/>
        </w:rPr>
        <w:t>Waste Management</w:t>
      </w:r>
      <w:r w:rsidR="00C6423D" w:rsidRPr="00C6423D">
        <w:rPr>
          <w:rFonts w:asciiTheme="minorHAnsi" w:hAnsiTheme="minorHAnsi" w:cstheme="minorHAnsi"/>
        </w:rPr>
        <w:t xml:space="preserve"> </w:t>
      </w:r>
    </w:p>
    <w:p w14:paraId="69E843D6" w14:textId="77777777" w:rsidR="002070A7" w:rsidRPr="002070A7" w:rsidRDefault="00AE6BC8" w:rsidP="002070A7">
      <w:pPr>
        <w:pStyle w:val="10SOP"/>
        <w:numPr>
          <w:ilvl w:val="0"/>
          <w:numId w:val="0"/>
        </w:numPr>
        <w:spacing w:after="0"/>
        <w:ind w:left="720" w:hanging="720"/>
        <w:rPr>
          <w:rFonts w:asciiTheme="minorHAnsi" w:hAnsiTheme="minorHAnsi" w:cstheme="minorHAnsi"/>
          <w:b w:val="0"/>
          <w:bCs/>
        </w:rPr>
      </w:pPr>
      <w:r w:rsidRPr="002070A7">
        <w:rPr>
          <w:rFonts w:asciiTheme="minorHAnsi" w:hAnsiTheme="minorHAnsi" w:cstheme="minorHAnsi"/>
          <w:b w:val="0"/>
          <w:bCs/>
        </w:rPr>
        <w:t>All laboratory waste, excess reagents, and samples must be disposed of in a manner that is consistent</w:t>
      </w:r>
    </w:p>
    <w:p w14:paraId="160EF305" w14:textId="4057C8EA" w:rsidR="00F609CE" w:rsidRDefault="00AE6BC8" w:rsidP="002070A7">
      <w:pPr>
        <w:pStyle w:val="10SOP"/>
        <w:numPr>
          <w:ilvl w:val="0"/>
          <w:numId w:val="0"/>
        </w:numPr>
        <w:tabs>
          <w:tab w:val="left" w:pos="630"/>
        </w:tabs>
        <w:spacing w:after="0"/>
        <w:ind w:left="720" w:hanging="720"/>
        <w:rPr>
          <w:rFonts w:asciiTheme="minorHAnsi" w:hAnsiTheme="minorHAnsi" w:cstheme="minorHAnsi"/>
          <w:b w:val="0"/>
          <w:bCs/>
        </w:rPr>
      </w:pPr>
      <w:r w:rsidRPr="002070A7">
        <w:rPr>
          <w:rFonts w:asciiTheme="minorHAnsi" w:hAnsiTheme="minorHAnsi" w:cstheme="minorHAnsi"/>
          <w:b w:val="0"/>
          <w:bCs/>
        </w:rPr>
        <w:t>with applicable rules and regulations</w:t>
      </w:r>
      <w:r w:rsidR="00F609CE" w:rsidRPr="002070A7">
        <w:rPr>
          <w:rFonts w:asciiTheme="minorHAnsi" w:hAnsiTheme="minorHAnsi" w:cstheme="minorHAnsi"/>
          <w:b w:val="0"/>
          <w:bCs/>
        </w:rPr>
        <w:t>.</w:t>
      </w:r>
    </w:p>
    <w:p w14:paraId="02C39CD1" w14:textId="77777777" w:rsidR="002070A7" w:rsidRPr="002070A7" w:rsidRDefault="002070A7" w:rsidP="002070A7">
      <w:pPr>
        <w:pStyle w:val="10SOP"/>
        <w:numPr>
          <w:ilvl w:val="0"/>
          <w:numId w:val="0"/>
        </w:numPr>
        <w:tabs>
          <w:tab w:val="left" w:pos="630"/>
        </w:tabs>
        <w:spacing w:after="0"/>
        <w:ind w:left="720" w:hanging="720"/>
        <w:rPr>
          <w:rFonts w:asciiTheme="minorHAnsi" w:hAnsiTheme="minorHAnsi" w:cstheme="minorHAnsi"/>
          <w:b w:val="0"/>
          <w:bCs/>
        </w:rPr>
      </w:pPr>
    </w:p>
    <w:p w14:paraId="568DCEF9" w14:textId="77777777" w:rsidR="0053309E" w:rsidRPr="002070A7" w:rsidRDefault="0053309E" w:rsidP="002070A7">
      <w:pPr>
        <w:pStyle w:val="10SOP"/>
        <w:numPr>
          <w:ilvl w:val="0"/>
          <w:numId w:val="0"/>
        </w:numPr>
        <w:rPr>
          <w:rFonts w:asciiTheme="minorHAnsi" w:hAnsiTheme="minorHAnsi" w:cstheme="minorHAnsi"/>
          <w:b w:val="0"/>
          <w:bCs/>
        </w:rPr>
      </w:pPr>
      <w:r w:rsidRPr="002070A7">
        <w:rPr>
          <w:rFonts w:asciiTheme="minorHAnsi" w:hAnsiTheme="minorHAnsi" w:cstheme="minorHAnsi"/>
          <w:b w:val="0"/>
          <w:bCs/>
        </w:rPr>
        <w:t xml:space="preserve">The Hach TNT </w:t>
      </w:r>
      <w:r w:rsidR="00290E43" w:rsidRPr="002070A7">
        <w:rPr>
          <w:rFonts w:asciiTheme="minorHAnsi" w:hAnsiTheme="minorHAnsi" w:cstheme="minorHAnsi"/>
          <w:b w:val="0"/>
          <w:bCs/>
        </w:rPr>
        <w:t xml:space="preserve">830, </w:t>
      </w:r>
      <w:r w:rsidRPr="002070A7">
        <w:rPr>
          <w:rFonts w:asciiTheme="minorHAnsi" w:hAnsiTheme="minorHAnsi" w:cstheme="minorHAnsi"/>
          <w:b w:val="0"/>
          <w:bCs/>
        </w:rPr>
        <w:t>831</w:t>
      </w:r>
      <w:r w:rsidR="00290E43" w:rsidRPr="002070A7">
        <w:rPr>
          <w:rFonts w:asciiTheme="minorHAnsi" w:hAnsiTheme="minorHAnsi" w:cstheme="minorHAnsi"/>
          <w:b w:val="0"/>
          <w:bCs/>
        </w:rPr>
        <w:t>, and 832 vials</w:t>
      </w:r>
      <w:r w:rsidRPr="002070A7">
        <w:rPr>
          <w:rFonts w:asciiTheme="minorHAnsi" w:hAnsiTheme="minorHAnsi" w:cstheme="minorHAnsi"/>
          <w:b w:val="0"/>
          <w:bCs/>
        </w:rPr>
        <w:t xml:space="preserve"> use a reagent called nitroprusside (Na</w:t>
      </w:r>
      <w:r w:rsidRPr="002070A7">
        <w:rPr>
          <w:rFonts w:asciiTheme="minorHAnsi" w:hAnsiTheme="minorHAnsi" w:cstheme="minorHAnsi"/>
          <w:b w:val="0"/>
          <w:bCs/>
          <w:vertAlign w:val="subscript"/>
        </w:rPr>
        <w:t>2</w:t>
      </w:r>
      <w:r w:rsidRPr="002070A7">
        <w:rPr>
          <w:rFonts w:asciiTheme="minorHAnsi" w:hAnsiTheme="minorHAnsi" w:cstheme="minorHAnsi"/>
          <w:b w:val="0"/>
          <w:bCs/>
        </w:rPr>
        <w:t>[</w:t>
      </w:r>
      <w:proofErr w:type="gramStart"/>
      <w:r w:rsidRPr="002070A7">
        <w:rPr>
          <w:rFonts w:asciiTheme="minorHAnsi" w:hAnsiTheme="minorHAnsi" w:cstheme="minorHAnsi"/>
          <w:b w:val="0"/>
          <w:bCs/>
        </w:rPr>
        <w:t>Fe(</w:t>
      </w:r>
      <w:proofErr w:type="gramEnd"/>
      <w:r w:rsidRPr="002070A7">
        <w:rPr>
          <w:rFonts w:asciiTheme="minorHAnsi" w:hAnsiTheme="minorHAnsi" w:cstheme="minorHAnsi"/>
          <w:b w:val="0"/>
          <w:bCs/>
        </w:rPr>
        <w:t>CN)</w:t>
      </w:r>
      <w:r w:rsidRPr="002070A7">
        <w:rPr>
          <w:rFonts w:asciiTheme="minorHAnsi" w:hAnsiTheme="minorHAnsi" w:cstheme="minorHAnsi"/>
          <w:b w:val="0"/>
          <w:bCs/>
          <w:vertAlign w:val="subscript"/>
        </w:rPr>
        <w:t>5</w:t>
      </w:r>
      <w:r w:rsidRPr="002070A7">
        <w:rPr>
          <w:rFonts w:asciiTheme="minorHAnsi" w:hAnsiTheme="minorHAnsi" w:cstheme="minorHAnsi"/>
          <w:b w:val="0"/>
          <w:bCs/>
        </w:rPr>
        <w:t>NO]2H</w:t>
      </w:r>
      <w:r w:rsidRPr="002070A7">
        <w:rPr>
          <w:rFonts w:asciiTheme="minorHAnsi" w:hAnsiTheme="minorHAnsi" w:cstheme="minorHAnsi"/>
          <w:b w:val="0"/>
          <w:bCs/>
          <w:vertAlign w:val="subscript"/>
        </w:rPr>
        <w:t>2</w:t>
      </w:r>
      <w:r w:rsidRPr="002070A7">
        <w:rPr>
          <w:rFonts w:asciiTheme="minorHAnsi" w:hAnsiTheme="minorHAnsi" w:cstheme="minorHAnsi"/>
          <w:b w:val="0"/>
          <w:bCs/>
        </w:rPr>
        <w:t>O).  Hach has determined that there are trace levels (6 – 14 µg/L) of free cyanide in the reacted samples.  It is the waste generator</w:t>
      </w:r>
      <w:r w:rsidR="00290E43" w:rsidRPr="002070A7">
        <w:rPr>
          <w:rFonts w:asciiTheme="minorHAnsi" w:hAnsiTheme="minorHAnsi" w:cstheme="minorHAnsi"/>
          <w:b w:val="0"/>
          <w:bCs/>
        </w:rPr>
        <w:t>’s</w:t>
      </w:r>
      <w:r w:rsidRPr="002070A7">
        <w:rPr>
          <w:rFonts w:asciiTheme="minorHAnsi" w:hAnsiTheme="minorHAnsi" w:cstheme="minorHAnsi"/>
          <w:b w:val="0"/>
          <w:bCs/>
        </w:rPr>
        <w:t xml:space="preserve"> responsibility to determine if it is a hazardous waste.  The waste generator in this case is the laboratory.  Under s. NR 661.23 (1)(e), cyanide bearing waste could be a hazardous waste when it is a cyanide or sulfide bearing waste which, when exposed to pH conditions between 2 and 12.5, can generate toxic gases, vapors or fumes in a quantity sufficient to present a danger to human health or the environment.  </w:t>
      </w:r>
    </w:p>
    <w:p w14:paraId="1949FD3A" w14:textId="77777777" w:rsidR="00D715D0" w:rsidRPr="002070A7" w:rsidRDefault="00F609CE" w:rsidP="002070A7">
      <w:pPr>
        <w:pStyle w:val="10SOP"/>
        <w:numPr>
          <w:ilvl w:val="0"/>
          <w:numId w:val="0"/>
        </w:numPr>
        <w:spacing w:after="120"/>
        <w:ind w:left="720" w:hanging="720"/>
        <w:rPr>
          <w:rFonts w:asciiTheme="minorHAnsi" w:hAnsiTheme="minorHAnsi" w:cstheme="minorHAnsi"/>
        </w:rPr>
      </w:pPr>
      <w:r w:rsidRPr="002070A7">
        <w:rPr>
          <w:rFonts w:asciiTheme="minorHAnsi" w:hAnsiTheme="minorHAnsi" w:cstheme="minorHAnsi"/>
        </w:rPr>
        <w:t>References</w:t>
      </w:r>
    </w:p>
    <w:p w14:paraId="46845A95" w14:textId="77777777" w:rsidR="00C320B8" w:rsidRPr="002070A7" w:rsidRDefault="00664642" w:rsidP="002070A7">
      <w:pPr>
        <w:pStyle w:val="11SOP"/>
        <w:tabs>
          <w:tab w:val="clear" w:pos="1440"/>
          <w:tab w:val="num" w:pos="720"/>
        </w:tabs>
        <w:spacing w:after="120"/>
        <w:ind w:left="720" w:hanging="540"/>
        <w:rPr>
          <w:rFonts w:asciiTheme="minorHAnsi" w:hAnsiTheme="minorHAnsi" w:cstheme="minorHAnsi"/>
        </w:rPr>
      </w:pPr>
      <w:r w:rsidRPr="002070A7">
        <w:rPr>
          <w:rFonts w:asciiTheme="minorHAnsi" w:hAnsiTheme="minorHAnsi" w:cstheme="minorHAnsi"/>
        </w:rPr>
        <w:t xml:space="preserve">EPA </w:t>
      </w:r>
      <w:r w:rsidR="00576A8F" w:rsidRPr="002070A7">
        <w:rPr>
          <w:rFonts w:asciiTheme="minorHAnsi" w:hAnsiTheme="minorHAnsi" w:cstheme="minorHAnsi"/>
        </w:rPr>
        <w:t xml:space="preserve">600/R-93-100, </w:t>
      </w:r>
      <w:r w:rsidR="00D1110D" w:rsidRPr="002070A7">
        <w:rPr>
          <w:rFonts w:asciiTheme="minorHAnsi" w:hAnsiTheme="minorHAnsi" w:cstheme="minorHAnsi"/>
        </w:rPr>
        <w:t xml:space="preserve">August 1993, Method </w:t>
      </w:r>
      <w:r w:rsidRPr="002070A7">
        <w:rPr>
          <w:rFonts w:asciiTheme="minorHAnsi" w:hAnsiTheme="minorHAnsi" w:cstheme="minorHAnsi"/>
        </w:rPr>
        <w:t>350.1</w:t>
      </w:r>
      <w:r w:rsidR="00D1110D" w:rsidRPr="002070A7">
        <w:rPr>
          <w:rFonts w:asciiTheme="minorHAnsi" w:hAnsiTheme="minorHAnsi" w:cstheme="minorHAnsi"/>
        </w:rPr>
        <w:t>, Determination of Nitrogen Ammonia by Semi-Automated Colorimetry – Revision 2.0.</w:t>
      </w:r>
    </w:p>
    <w:p w14:paraId="5E93EF07" w14:textId="77777777" w:rsidR="00653317" w:rsidRPr="002070A7" w:rsidRDefault="00182C12" w:rsidP="002070A7">
      <w:pPr>
        <w:pStyle w:val="11SOP"/>
        <w:tabs>
          <w:tab w:val="clear" w:pos="1440"/>
          <w:tab w:val="num" w:pos="720"/>
          <w:tab w:val="left" w:pos="1530"/>
        </w:tabs>
        <w:spacing w:after="120"/>
        <w:ind w:left="720" w:hanging="540"/>
        <w:rPr>
          <w:rFonts w:asciiTheme="minorHAnsi" w:hAnsiTheme="minorHAnsi" w:cstheme="minorHAnsi"/>
        </w:rPr>
      </w:pPr>
      <w:r w:rsidRPr="002070A7">
        <w:rPr>
          <w:rFonts w:asciiTheme="minorHAnsi" w:hAnsiTheme="minorHAnsi" w:cstheme="minorHAnsi"/>
          <w:bCs/>
          <w:color w:val="000000"/>
          <w:szCs w:val="22"/>
        </w:rPr>
        <w:t xml:space="preserve">Ammonia – Spectrophotometric Measurement of Ammonia Nitrogen and Total </w:t>
      </w:r>
      <w:proofErr w:type="spellStart"/>
      <w:r w:rsidRPr="002070A7">
        <w:rPr>
          <w:rFonts w:asciiTheme="minorHAnsi" w:hAnsiTheme="minorHAnsi" w:cstheme="minorHAnsi"/>
          <w:bCs/>
          <w:color w:val="000000"/>
          <w:szCs w:val="22"/>
        </w:rPr>
        <w:t>Kjeldahl</w:t>
      </w:r>
      <w:proofErr w:type="spellEnd"/>
      <w:r w:rsidRPr="002070A7">
        <w:rPr>
          <w:rFonts w:asciiTheme="minorHAnsi" w:hAnsiTheme="minorHAnsi" w:cstheme="minorHAnsi"/>
          <w:bCs/>
          <w:color w:val="000000"/>
          <w:szCs w:val="22"/>
        </w:rPr>
        <w:t xml:space="preserve"> Nitrogen in Water and Wastewater, Method 10205, Hach Company </w:t>
      </w:r>
      <w:proofErr w:type="spellStart"/>
      <w:r w:rsidRPr="002070A7">
        <w:rPr>
          <w:rFonts w:asciiTheme="minorHAnsi" w:hAnsiTheme="minorHAnsi" w:cstheme="minorHAnsi"/>
          <w:bCs/>
          <w:color w:val="000000"/>
          <w:szCs w:val="22"/>
        </w:rPr>
        <w:t>TNTPlus</w:t>
      </w:r>
      <w:proofErr w:type="spellEnd"/>
      <w:r w:rsidRPr="002070A7">
        <w:rPr>
          <w:rFonts w:asciiTheme="minorHAnsi" w:hAnsiTheme="minorHAnsi" w:cstheme="minorHAnsi"/>
          <w:bCs/>
          <w:color w:val="000000"/>
          <w:szCs w:val="22"/>
        </w:rPr>
        <w:t>™, revision 2.0, August 2008.  Hach Company, Loveland Colorado</w:t>
      </w:r>
      <w:r w:rsidR="009404A5" w:rsidRPr="002070A7">
        <w:rPr>
          <w:rFonts w:asciiTheme="minorHAnsi" w:hAnsiTheme="minorHAnsi" w:cstheme="minorHAnsi"/>
        </w:rPr>
        <w:t>.</w:t>
      </w:r>
    </w:p>
    <w:p w14:paraId="6C45C4C5" w14:textId="77777777" w:rsidR="00182C12" w:rsidRPr="002070A7" w:rsidRDefault="00182C12" w:rsidP="002070A7">
      <w:pPr>
        <w:pStyle w:val="11SOP"/>
        <w:tabs>
          <w:tab w:val="clear" w:pos="1440"/>
          <w:tab w:val="num" w:pos="540"/>
        </w:tabs>
        <w:spacing w:after="120"/>
        <w:ind w:left="532" w:hanging="446"/>
        <w:rPr>
          <w:rFonts w:asciiTheme="minorHAnsi" w:hAnsiTheme="minorHAnsi" w:cstheme="minorHAnsi"/>
        </w:rPr>
      </w:pPr>
      <w:r w:rsidRPr="002070A7">
        <w:rPr>
          <w:rFonts w:asciiTheme="minorHAnsi" w:hAnsiTheme="minorHAnsi" w:cstheme="minorHAnsi"/>
          <w:szCs w:val="22"/>
        </w:rPr>
        <w:t>Evaluation of the need for preliminary distillation prior to analysis of ammonia using Hach method 10205 (</w:t>
      </w:r>
      <w:proofErr w:type="spellStart"/>
      <w:r w:rsidRPr="002070A7">
        <w:rPr>
          <w:rFonts w:asciiTheme="minorHAnsi" w:hAnsiTheme="minorHAnsi" w:cstheme="minorHAnsi"/>
          <w:szCs w:val="22"/>
        </w:rPr>
        <w:t>TNTplus</w:t>
      </w:r>
      <w:proofErr w:type="spellEnd"/>
      <w:r w:rsidRPr="002070A7">
        <w:rPr>
          <w:rFonts w:asciiTheme="minorHAnsi" w:hAnsiTheme="minorHAnsi" w:cstheme="minorHAnsi"/>
          <w:szCs w:val="22"/>
        </w:rPr>
        <w:t>™ 830, 831, 832), Hach Applications Laboratory Report, the Hach Company, Loveland, Colorado.  2011.</w:t>
      </w:r>
    </w:p>
    <w:p w14:paraId="4B9AA29E" w14:textId="77777777" w:rsidR="00182C12" w:rsidRPr="002070A7" w:rsidRDefault="00A31E45" w:rsidP="002070A7">
      <w:pPr>
        <w:pStyle w:val="10SOP"/>
        <w:numPr>
          <w:ilvl w:val="0"/>
          <w:numId w:val="0"/>
        </w:numPr>
        <w:ind w:left="720" w:hanging="720"/>
        <w:rPr>
          <w:rFonts w:asciiTheme="minorHAnsi" w:hAnsiTheme="minorHAnsi" w:cstheme="minorHAnsi"/>
        </w:rPr>
      </w:pPr>
      <w:bookmarkStart w:id="3" w:name="_Hlk513536358"/>
      <w:r w:rsidRPr="002070A7">
        <w:rPr>
          <w:rFonts w:asciiTheme="minorHAnsi" w:hAnsiTheme="minorHAnsi" w:cstheme="minorHAnsi"/>
        </w:rPr>
        <w:t>Disclaimer</w:t>
      </w:r>
      <w:r w:rsidR="00182C12" w:rsidRPr="002070A7">
        <w:rPr>
          <w:rFonts w:asciiTheme="minorHAnsi" w:hAnsiTheme="minorHAnsi" w:cstheme="minorHAnsi"/>
        </w:rPr>
        <w:t xml:space="preserve"> </w:t>
      </w:r>
    </w:p>
    <w:p w14:paraId="065D545B" w14:textId="77777777" w:rsidR="00182C12" w:rsidRPr="002070A7" w:rsidRDefault="00182C12" w:rsidP="002070A7">
      <w:pPr>
        <w:pStyle w:val="11SOP"/>
        <w:numPr>
          <w:ilvl w:val="0"/>
          <w:numId w:val="0"/>
        </w:numPr>
        <w:ind w:left="720"/>
        <w:rPr>
          <w:rFonts w:asciiTheme="minorHAnsi" w:hAnsiTheme="minorHAnsi" w:cstheme="minorHAnsi"/>
          <w:b/>
          <w:i/>
          <w:iCs/>
        </w:rPr>
      </w:pPr>
      <w:r w:rsidRPr="002070A7">
        <w:rPr>
          <w:rFonts w:asciiTheme="minorHAnsi" w:hAnsiTheme="minorHAnsi" w:cstheme="minorHAnsi"/>
          <w:i/>
          <w:iCs/>
        </w:rPr>
        <w:t>The mentioning of company or product names does not constitute endorsement by the Wisconsin Department of Natural Resources or the authors.</w:t>
      </w:r>
    </w:p>
    <w:bookmarkEnd w:id="3"/>
    <w:p w14:paraId="4579C913" w14:textId="77777777" w:rsidR="00653317" w:rsidRDefault="00653317" w:rsidP="00653317">
      <w:pPr>
        <w:pStyle w:val="11SOP"/>
        <w:numPr>
          <w:ilvl w:val="0"/>
          <w:numId w:val="0"/>
        </w:numPr>
      </w:pPr>
    </w:p>
    <w:sectPr w:rsidR="00653317" w:rsidSect="00A76F9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47FDE" w14:textId="77777777" w:rsidR="00BD1894" w:rsidRDefault="00BD1894">
      <w:r>
        <w:separator/>
      </w:r>
    </w:p>
  </w:endnote>
  <w:endnote w:type="continuationSeparator" w:id="0">
    <w:p w14:paraId="674CFC80" w14:textId="77777777" w:rsidR="00BD1894" w:rsidRDefault="00BD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6F58A" w14:textId="77777777" w:rsidR="00260B3F" w:rsidRPr="007F5D38" w:rsidRDefault="00260B3F" w:rsidP="007F5D38">
    <w:pPr>
      <w:pStyle w:val="Footer"/>
      <w:jc w:val="right"/>
      <w:rPr>
        <w:rFonts w:ascii="Arial" w:hAnsi="Arial" w:cs="Arial"/>
        <w:sz w:val="20"/>
      </w:rPr>
    </w:pPr>
    <w:r w:rsidRPr="007F5D38">
      <w:rPr>
        <w:rFonts w:ascii="Arial" w:hAnsi="Arial" w:cs="Arial"/>
        <w:sz w:val="20"/>
      </w:rPr>
      <w:t xml:space="preserve">Page </w:t>
    </w:r>
    <w:r w:rsidRPr="007F5D38">
      <w:rPr>
        <w:rFonts w:ascii="Arial" w:hAnsi="Arial" w:cs="Arial"/>
        <w:sz w:val="20"/>
      </w:rPr>
      <w:fldChar w:fldCharType="begin"/>
    </w:r>
    <w:r w:rsidRPr="007F5D38">
      <w:rPr>
        <w:rFonts w:ascii="Arial" w:hAnsi="Arial" w:cs="Arial"/>
        <w:sz w:val="20"/>
      </w:rPr>
      <w:instrText xml:space="preserve"> PAGE </w:instrText>
    </w:r>
    <w:r w:rsidRPr="007F5D38">
      <w:rPr>
        <w:rFonts w:ascii="Arial" w:hAnsi="Arial" w:cs="Arial"/>
        <w:sz w:val="20"/>
      </w:rPr>
      <w:fldChar w:fldCharType="separate"/>
    </w:r>
    <w:r>
      <w:rPr>
        <w:rFonts w:ascii="Arial" w:hAnsi="Arial" w:cs="Arial"/>
        <w:noProof/>
        <w:sz w:val="20"/>
      </w:rPr>
      <w:t>4</w:t>
    </w:r>
    <w:r w:rsidRPr="007F5D38">
      <w:rPr>
        <w:rFonts w:ascii="Arial" w:hAnsi="Arial" w:cs="Arial"/>
        <w:sz w:val="20"/>
      </w:rPr>
      <w:fldChar w:fldCharType="end"/>
    </w:r>
    <w:r w:rsidRPr="007F5D38">
      <w:rPr>
        <w:rFonts w:ascii="Arial" w:hAnsi="Arial" w:cs="Arial"/>
        <w:sz w:val="20"/>
      </w:rPr>
      <w:t xml:space="preserve"> of </w:t>
    </w:r>
    <w:r w:rsidRPr="007F5D38">
      <w:rPr>
        <w:rFonts w:ascii="Arial" w:hAnsi="Arial" w:cs="Arial"/>
        <w:sz w:val="20"/>
      </w:rPr>
      <w:fldChar w:fldCharType="begin"/>
    </w:r>
    <w:r w:rsidRPr="007F5D38">
      <w:rPr>
        <w:rFonts w:ascii="Arial" w:hAnsi="Arial" w:cs="Arial"/>
        <w:sz w:val="20"/>
      </w:rPr>
      <w:instrText xml:space="preserve"> NUMPAGES </w:instrText>
    </w:r>
    <w:r w:rsidRPr="007F5D38">
      <w:rPr>
        <w:rFonts w:ascii="Arial" w:hAnsi="Arial" w:cs="Arial"/>
        <w:sz w:val="20"/>
      </w:rPr>
      <w:fldChar w:fldCharType="separate"/>
    </w:r>
    <w:r>
      <w:rPr>
        <w:rFonts w:ascii="Arial" w:hAnsi="Arial" w:cs="Arial"/>
        <w:noProof/>
        <w:sz w:val="20"/>
      </w:rPr>
      <w:t>8</w:t>
    </w:r>
    <w:r w:rsidRPr="007F5D38">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BE538" w14:textId="77777777" w:rsidR="00BD1894" w:rsidRDefault="00BD1894">
      <w:r>
        <w:separator/>
      </w:r>
    </w:p>
  </w:footnote>
  <w:footnote w:type="continuationSeparator" w:id="0">
    <w:p w14:paraId="5E13AE23" w14:textId="77777777" w:rsidR="00BD1894" w:rsidRDefault="00BD1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95321" w14:textId="3103C08E" w:rsidR="00260B3F" w:rsidRPr="00F46CA5" w:rsidRDefault="00260B3F" w:rsidP="00A76F9D">
    <w:pPr>
      <w:pStyle w:val="Header"/>
      <w:rPr>
        <w:b/>
      </w:rPr>
    </w:pPr>
    <w:r>
      <w:rPr>
        <w:rFonts w:asciiTheme="majorHAnsi" w:eastAsiaTheme="majorEastAsia" w:hAnsiTheme="majorHAnsi" w:cstheme="majorBidi"/>
        <w:b/>
        <w:color w:val="FF0000"/>
      </w:rPr>
      <w:t>__________</w:t>
    </w:r>
    <w:r>
      <w:rPr>
        <w:rFonts w:asciiTheme="majorHAnsi" w:eastAsiaTheme="majorEastAsia" w:hAnsiTheme="majorHAnsi" w:cstheme="majorBidi"/>
        <w:b/>
      </w:rPr>
      <w:t>WWTP Ammonia (NH</w:t>
    </w:r>
    <w:r w:rsidRPr="00A76F9D">
      <w:rPr>
        <w:rFonts w:asciiTheme="majorHAnsi" w:eastAsiaTheme="majorEastAsia" w:hAnsiTheme="majorHAnsi" w:cstheme="majorBidi"/>
        <w:b/>
        <w:vertAlign w:val="subscript"/>
      </w:rPr>
      <w:t>3</w:t>
    </w:r>
    <w:r>
      <w:rPr>
        <w:rFonts w:asciiTheme="majorHAnsi" w:eastAsiaTheme="majorEastAsia" w:hAnsiTheme="majorHAnsi" w:cstheme="majorBidi"/>
        <w:b/>
      </w:rPr>
      <w:t xml:space="preserve">-N) </w:t>
    </w:r>
    <w:r w:rsidRPr="00F46CA5">
      <w:rPr>
        <w:rFonts w:asciiTheme="majorHAnsi" w:eastAsiaTheme="majorEastAsia" w:hAnsiTheme="majorHAnsi" w:cstheme="majorBidi"/>
        <w:b/>
      </w:rPr>
      <w:t>SOP</w:t>
    </w:r>
    <w:r>
      <w:rPr>
        <w:rFonts w:asciiTheme="majorHAnsi" w:eastAsiaTheme="majorEastAsia" w:hAnsiTheme="majorHAnsi" w:cstheme="majorBidi"/>
        <w:b/>
      </w:rPr>
      <w:t>:</w:t>
    </w:r>
    <w:r w:rsidRPr="00F46CA5">
      <w:rPr>
        <w:rFonts w:asciiTheme="majorHAnsi" w:eastAsiaTheme="majorEastAsia" w:hAnsiTheme="majorHAnsi" w:cstheme="majorBidi"/>
        <w:b/>
      </w:rPr>
      <w:t xml:space="preserve"> Method Reference: </w:t>
    </w:r>
    <w:r>
      <w:rPr>
        <w:rFonts w:asciiTheme="majorHAnsi" w:eastAsiaTheme="majorEastAsia" w:hAnsiTheme="majorHAnsi" w:cstheme="majorBidi"/>
        <w:b/>
      </w:rPr>
      <w:t xml:space="preserve">350.1 using Hach TNT 10205 </w:t>
    </w:r>
    <w:r w:rsidRPr="00F46CA5">
      <w:rPr>
        <w:rFonts w:asciiTheme="majorHAnsi" w:eastAsiaTheme="majorEastAsia" w:hAnsiTheme="majorHAnsi" w:cstheme="majorBidi"/>
        <w:b/>
      </w:rPr>
      <w:ptab w:relativeTo="margin" w:alignment="right" w:leader="none"/>
    </w:r>
    <w:r w:rsidRPr="00F46CA5">
      <w:rPr>
        <w:rFonts w:asciiTheme="majorHAnsi" w:eastAsiaTheme="majorEastAsia" w:hAnsiTheme="majorHAnsi" w:cstheme="majorBidi"/>
        <w:b/>
      </w:rPr>
      <w:t xml:space="preserve">Page </w:t>
    </w:r>
    <w:r w:rsidRPr="00F46CA5">
      <w:rPr>
        <w:rFonts w:asciiTheme="minorHAnsi" w:eastAsiaTheme="minorEastAsia" w:hAnsiTheme="minorHAnsi" w:cstheme="minorBidi"/>
        <w:b/>
      </w:rPr>
      <w:fldChar w:fldCharType="begin"/>
    </w:r>
    <w:r w:rsidRPr="00F46CA5">
      <w:rPr>
        <w:b/>
      </w:rPr>
      <w:instrText xml:space="preserve"> PAGE   \* MERGEFORMAT </w:instrText>
    </w:r>
    <w:r w:rsidRPr="00F46CA5">
      <w:rPr>
        <w:rFonts w:asciiTheme="minorHAnsi" w:eastAsiaTheme="minorEastAsia" w:hAnsiTheme="minorHAnsi" w:cstheme="minorBidi"/>
        <w:b/>
      </w:rPr>
      <w:fldChar w:fldCharType="separate"/>
    </w:r>
    <w:r>
      <w:rPr>
        <w:rFonts w:eastAsiaTheme="minorEastAsia"/>
        <w:b/>
      </w:rPr>
      <w:t>4</w:t>
    </w:r>
    <w:r w:rsidRPr="00F46CA5">
      <w:rPr>
        <w:rFonts w:asciiTheme="majorHAnsi" w:eastAsiaTheme="majorEastAsia" w:hAnsiTheme="majorHAnsi" w:cstheme="majorBidi"/>
        <w:b/>
        <w:noProof/>
      </w:rPr>
      <w:fldChar w:fldCharType="end"/>
    </w:r>
  </w:p>
  <w:p w14:paraId="7626D7DA" w14:textId="6075E0B2" w:rsidR="00260B3F" w:rsidRDefault="00260B3F" w:rsidP="00A76F9D">
    <w:pPr>
      <w:pStyle w:val="Header"/>
    </w:pPr>
    <w:r w:rsidRPr="00F46CA5">
      <w:rPr>
        <w:b/>
      </w:rPr>
      <w:t>__________________________________________________________________________________________</w:t>
    </w:r>
  </w:p>
  <w:p w14:paraId="2B5DA99E" w14:textId="77777777" w:rsidR="00260B3F" w:rsidRDefault="00260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36CA4"/>
    <w:multiLevelType w:val="hybridMultilevel"/>
    <w:tmpl w:val="58D67358"/>
    <w:lvl w:ilvl="0" w:tplc="04090019">
      <w:start w:val="1"/>
      <w:numFmt w:val="lowerLetter"/>
      <w:lvlText w:val="%1."/>
      <w:lvlJc w:val="left"/>
      <w:pPr>
        <w:ind w:left="-594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1620" w:hanging="360"/>
      </w:pPr>
    </w:lvl>
    <w:lvl w:ilvl="7" w:tplc="04090019" w:tentative="1">
      <w:start w:val="1"/>
      <w:numFmt w:val="lowerLetter"/>
      <w:lvlText w:val="%8."/>
      <w:lvlJc w:val="left"/>
      <w:pPr>
        <w:ind w:left="-900" w:hanging="360"/>
      </w:pPr>
    </w:lvl>
    <w:lvl w:ilvl="8" w:tplc="0409001B" w:tentative="1">
      <w:start w:val="1"/>
      <w:numFmt w:val="lowerRoman"/>
      <w:lvlText w:val="%9."/>
      <w:lvlJc w:val="right"/>
      <w:pPr>
        <w:ind w:left="-180" w:hanging="180"/>
      </w:pPr>
    </w:lvl>
  </w:abstractNum>
  <w:abstractNum w:abstractNumId="1" w15:restartNumberingAfterBreak="0">
    <w:nsid w:val="0D95340A"/>
    <w:multiLevelType w:val="hybridMultilevel"/>
    <w:tmpl w:val="46C0AA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D781C"/>
    <w:multiLevelType w:val="multilevel"/>
    <w:tmpl w:val="5B30DC5A"/>
    <w:lvl w:ilvl="0">
      <w:start w:val="1"/>
      <w:numFmt w:val="lowerLetter"/>
      <w:lvlText w:val="%1."/>
      <w:lvlJc w:val="left"/>
      <w:pPr>
        <w:tabs>
          <w:tab w:val="num" w:pos="8460"/>
        </w:tabs>
        <w:ind w:left="8460" w:hanging="720"/>
      </w:pPr>
      <w:rPr>
        <w:rFonts w:hint="default"/>
        <w:b w:val="0"/>
        <w:bCs w:val="0"/>
        <w:i w:val="0"/>
        <w:sz w:val="22"/>
      </w:rPr>
    </w:lvl>
    <w:lvl w:ilvl="1">
      <w:start w:val="1"/>
      <w:numFmt w:val="lowerLetter"/>
      <w:lvlText w:val="%2."/>
      <w:lvlJc w:val="left"/>
      <w:pPr>
        <w:tabs>
          <w:tab w:val="num" w:pos="2070"/>
        </w:tabs>
        <w:ind w:left="2070" w:hanging="720"/>
      </w:pPr>
      <w:rPr>
        <w:rFonts w:ascii="Arial" w:eastAsia="Times New Roman" w:hAnsi="Arial" w:cs="Times New Roman"/>
        <w:b/>
        <w:i w:val="0"/>
        <w:sz w:val="22"/>
      </w:rPr>
    </w:lvl>
    <w:lvl w:ilvl="2">
      <w:start w:val="1"/>
      <w:numFmt w:val="decimal"/>
      <w:lvlText w:val="%1.%2.%3."/>
      <w:lvlJc w:val="left"/>
      <w:pPr>
        <w:tabs>
          <w:tab w:val="num" w:pos="7020"/>
        </w:tabs>
        <w:ind w:left="7020" w:hanging="1080"/>
      </w:pPr>
      <w:rPr>
        <w:rFonts w:ascii="Arial" w:hAnsi="Arial" w:hint="default"/>
        <w:b/>
        <w:i w:val="0"/>
        <w:sz w:val="22"/>
      </w:rPr>
    </w:lvl>
    <w:lvl w:ilvl="3">
      <w:start w:val="1"/>
      <w:numFmt w:val="decimal"/>
      <w:lvlText w:val="%1.%2.%3.%4."/>
      <w:lvlJc w:val="left"/>
      <w:pPr>
        <w:tabs>
          <w:tab w:val="num" w:pos="3600"/>
        </w:tabs>
        <w:ind w:left="3600" w:hanging="1080"/>
      </w:pPr>
      <w:rPr>
        <w:rFonts w:ascii="Arial" w:hAnsi="Arial" w:hint="default"/>
        <w:b/>
        <w:i w:val="0"/>
        <w:sz w:val="22"/>
      </w:rPr>
    </w:lvl>
    <w:lvl w:ilvl="4">
      <w:start w:val="1"/>
      <w:numFmt w:val="decimal"/>
      <w:lvlText w:val="%1.%2.%3.%4.%5."/>
      <w:lvlJc w:val="left"/>
      <w:pPr>
        <w:tabs>
          <w:tab w:val="num" w:pos="4680"/>
        </w:tabs>
        <w:ind w:left="4680" w:hanging="1080"/>
      </w:pPr>
      <w:rPr>
        <w:rFonts w:ascii="Arial" w:hAnsi="Arial" w:hint="default"/>
        <w:b/>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9B61A7A"/>
    <w:multiLevelType w:val="hybridMultilevel"/>
    <w:tmpl w:val="3DB23AEA"/>
    <w:lvl w:ilvl="0" w:tplc="792052A8">
      <w:start w:val="1"/>
      <w:numFmt w:val="decimal"/>
      <w:lvlText w:val="%1."/>
      <w:lvlJc w:val="lef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EBF1BD9"/>
    <w:multiLevelType w:val="hybridMultilevel"/>
    <w:tmpl w:val="895C28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70473"/>
    <w:multiLevelType w:val="multilevel"/>
    <w:tmpl w:val="6F4AF52C"/>
    <w:lvl w:ilvl="0">
      <w:start w:val="1"/>
      <w:numFmt w:val="lowerLetter"/>
      <w:pStyle w:val="10SOP"/>
      <w:lvlText w:val="%1."/>
      <w:lvlJc w:val="left"/>
      <w:pPr>
        <w:tabs>
          <w:tab w:val="num" w:pos="8460"/>
        </w:tabs>
        <w:ind w:left="8460" w:hanging="720"/>
      </w:pPr>
      <w:rPr>
        <w:rFonts w:asciiTheme="minorHAnsi" w:eastAsia="Times New Roman" w:hAnsiTheme="minorHAnsi" w:cstheme="minorHAnsi" w:hint="default"/>
        <w:b w:val="0"/>
        <w:bCs w:val="0"/>
        <w:i w:val="0"/>
        <w:sz w:val="22"/>
      </w:rPr>
    </w:lvl>
    <w:lvl w:ilvl="1">
      <w:start w:val="1"/>
      <w:numFmt w:val="lowerLetter"/>
      <w:pStyle w:val="11SOP"/>
      <w:lvlText w:val="%2."/>
      <w:lvlJc w:val="left"/>
      <w:pPr>
        <w:tabs>
          <w:tab w:val="num" w:pos="2070"/>
        </w:tabs>
        <w:ind w:left="2070" w:hanging="720"/>
      </w:pPr>
      <w:rPr>
        <w:rFonts w:asciiTheme="minorHAnsi" w:eastAsia="Times New Roman" w:hAnsiTheme="minorHAnsi" w:cstheme="minorHAnsi" w:hint="default"/>
        <w:b w:val="0"/>
        <w:bCs/>
        <w:i w:val="0"/>
        <w:sz w:val="22"/>
      </w:rPr>
    </w:lvl>
    <w:lvl w:ilvl="2">
      <w:start w:val="1"/>
      <w:numFmt w:val="decimal"/>
      <w:pStyle w:val="111SOP"/>
      <w:lvlText w:val="%1.%2.%3."/>
      <w:lvlJc w:val="left"/>
      <w:pPr>
        <w:tabs>
          <w:tab w:val="num" w:pos="7020"/>
        </w:tabs>
        <w:ind w:left="7020" w:hanging="1080"/>
      </w:pPr>
      <w:rPr>
        <w:rFonts w:ascii="Arial" w:hAnsi="Arial" w:hint="default"/>
        <w:b/>
        <w:i w:val="0"/>
        <w:sz w:val="22"/>
      </w:rPr>
    </w:lvl>
    <w:lvl w:ilvl="3">
      <w:start w:val="1"/>
      <w:numFmt w:val="decimal"/>
      <w:pStyle w:val="1111SOP"/>
      <w:lvlText w:val="%1.%2.%3.%4."/>
      <w:lvlJc w:val="left"/>
      <w:pPr>
        <w:tabs>
          <w:tab w:val="num" w:pos="3600"/>
        </w:tabs>
        <w:ind w:left="3600" w:hanging="1080"/>
      </w:pPr>
      <w:rPr>
        <w:rFonts w:ascii="Arial" w:hAnsi="Arial" w:hint="default"/>
        <w:b/>
        <w:i w:val="0"/>
        <w:sz w:val="22"/>
      </w:rPr>
    </w:lvl>
    <w:lvl w:ilvl="4">
      <w:start w:val="1"/>
      <w:numFmt w:val="decimal"/>
      <w:pStyle w:val="11111SOP"/>
      <w:lvlText w:val="%1.%2.%3.%4.%5."/>
      <w:lvlJc w:val="left"/>
      <w:pPr>
        <w:tabs>
          <w:tab w:val="num" w:pos="4680"/>
        </w:tabs>
        <w:ind w:left="4680" w:hanging="1080"/>
      </w:pPr>
      <w:rPr>
        <w:rFonts w:ascii="Arial" w:hAnsi="Arial" w:hint="default"/>
        <w:b/>
        <w:i w:val="0"/>
        <w:sz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8B51CC1"/>
    <w:multiLevelType w:val="hybridMultilevel"/>
    <w:tmpl w:val="7A7438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CF3135"/>
    <w:multiLevelType w:val="hybridMultilevel"/>
    <w:tmpl w:val="0BB0B8E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7ACE14C4"/>
    <w:multiLevelType w:val="hybridMultilevel"/>
    <w:tmpl w:val="4B3CBC6A"/>
    <w:lvl w:ilvl="0" w:tplc="9F72721E">
      <w:start w:val="1"/>
      <w:numFmt w:val="decimal"/>
      <w:lvlText w:val="%1."/>
      <w:lvlJc w:val="left"/>
      <w:pPr>
        <w:ind w:left="720" w:hanging="360"/>
      </w:pPr>
      <w:rPr>
        <w:i w:val="0"/>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A21D6"/>
    <w:multiLevelType w:val="hybridMultilevel"/>
    <w:tmpl w:val="B1163D3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7EFF4A0E"/>
    <w:multiLevelType w:val="multilevel"/>
    <w:tmpl w:val="E222E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imes New Roman" w:hAnsi="Times New Roman" w:cs="Times New Roman" w:hint="default"/>
        <w:b w:val="0"/>
        <w:sz w:val="24"/>
        <w:szCs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5"/>
  </w:num>
  <w:num w:numId="6">
    <w:abstractNumId w:val="5"/>
  </w:num>
  <w:num w:numId="7">
    <w:abstractNumId w:val="9"/>
  </w:num>
  <w:num w:numId="8">
    <w:abstractNumId w:val="7"/>
  </w:num>
  <w:num w:numId="9">
    <w:abstractNumId w:val="8"/>
  </w:num>
  <w:num w:numId="10">
    <w:abstractNumId w:val="5"/>
  </w:num>
  <w:num w:numId="11">
    <w:abstractNumId w:val="5"/>
  </w:num>
  <w:num w:numId="12">
    <w:abstractNumId w:val="10"/>
  </w:num>
  <w:num w:numId="13">
    <w:abstractNumId w:val="3"/>
  </w:num>
  <w:num w:numId="14">
    <w:abstractNumId w:val="4"/>
  </w:num>
  <w:num w:numId="15">
    <w:abstractNumId w:val="1"/>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CE"/>
    <w:rsid w:val="00000EF6"/>
    <w:rsid w:val="00010DFD"/>
    <w:rsid w:val="000120A1"/>
    <w:rsid w:val="00013B57"/>
    <w:rsid w:val="0002243B"/>
    <w:rsid w:val="00026374"/>
    <w:rsid w:val="000411E9"/>
    <w:rsid w:val="00043E6D"/>
    <w:rsid w:val="00046C43"/>
    <w:rsid w:val="000512A2"/>
    <w:rsid w:val="00060D05"/>
    <w:rsid w:val="000762D0"/>
    <w:rsid w:val="00086043"/>
    <w:rsid w:val="000B19C5"/>
    <w:rsid w:val="000B6B13"/>
    <w:rsid w:val="000B7F23"/>
    <w:rsid w:val="000D1CEC"/>
    <w:rsid w:val="000E04B4"/>
    <w:rsid w:val="00100033"/>
    <w:rsid w:val="00103032"/>
    <w:rsid w:val="0010368E"/>
    <w:rsid w:val="0010386C"/>
    <w:rsid w:val="001240AA"/>
    <w:rsid w:val="00130017"/>
    <w:rsid w:val="001375C1"/>
    <w:rsid w:val="00137B32"/>
    <w:rsid w:val="001419C3"/>
    <w:rsid w:val="001531C4"/>
    <w:rsid w:val="001647EA"/>
    <w:rsid w:val="00165657"/>
    <w:rsid w:val="00166A98"/>
    <w:rsid w:val="001670EE"/>
    <w:rsid w:val="001671DA"/>
    <w:rsid w:val="00181E3A"/>
    <w:rsid w:val="00182C12"/>
    <w:rsid w:val="001865A3"/>
    <w:rsid w:val="00193972"/>
    <w:rsid w:val="001B0846"/>
    <w:rsid w:val="001B109B"/>
    <w:rsid w:val="001B225C"/>
    <w:rsid w:val="001B67AF"/>
    <w:rsid w:val="001D1F3C"/>
    <w:rsid w:val="001F3BA7"/>
    <w:rsid w:val="002019E5"/>
    <w:rsid w:val="002070A7"/>
    <w:rsid w:val="00222FAE"/>
    <w:rsid w:val="00242138"/>
    <w:rsid w:val="00243C1A"/>
    <w:rsid w:val="00250E8D"/>
    <w:rsid w:val="0025456A"/>
    <w:rsid w:val="0025717A"/>
    <w:rsid w:val="00260B3F"/>
    <w:rsid w:val="00266E17"/>
    <w:rsid w:val="002823D1"/>
    <w:rsid w:val="00284468"/>
    <w:rsid w:val="00290E43"/>
    <w:rsid w:val="002A059C"/>
    <w:rsid w:val="002B1871"/>
    <w:rsid w:val="002B2E06"/>
    <w:rsid w:val="002D20E9"/>
    <w:rsid w:val="002E5DA9"/>
    <w:rsid w:val="00313B10"/>
    <w:rsid w:val="0031688B"/>
    <w:rsid w:val="00331A7A"/>
    <w:rsid w:val="00342077"/>
    <w:rsid w:val="0035060D"/>
    <w:rsid w:val="00353D6E"/>
    <w:rsid w:val="00370067"/>
    <w:rsid w:val="00370A84"/>
    <w:rsid w:val="00373070"/>
    <w:rsid w:val="00373137"/>
    <w:rsid w:val="00374B04"/>
    <w:rsid w:val="00384CA2"/>
    <w:rsid w:val="00385B07"/>
    <w:rsid w:val="003A3F28"/>
    <w:rsid w:val="003A5E4E"/>
    <w:rsid w:val="003A619C"/>
    <w:rsid w:val="003A7425"/>
    <w:rsid w:val="003B1518"/>
    <w:rsid w:val="003C4A57"/>
    <w:rsid w:val="00402CE2"/>
    <w:rsid w:val="004329D9"/>
    <w:rsid w:val="00443D73"/>
    <w:rsid w:val="00446131"/>
    <w:rsid w:val="00452C4F"/>
    <w:rsid w:val="00454133"/>
    <w:rsid w:val="00455E7E"/>
    <w:rsid w:val="0046794D"/>
    <w:rsid w:val="004829F6"/>
    <w:rsid w:val="00486837"/>
    <w:rsid w:val="0049290E"/>
    <w:rsid w:val="00494426"/>
    <w:rsid w:val="004A103C"/>
    <w:rsid w:val="004A2241"/>
    <w:rsid w:val="004A562B"/>
    <w:rsid w:val="004A6982"/>
    <w:rsid w:val="004A7B62"/>
    <w:rsid w:val="004B4AE3"/>
    <w:rsid w:val="004C2C22"/>
    <w:rsid w:val="004C48AD"/>
    <w:rsid w:val="004C5164"/>
    <w:rsid w:val="004D1A97"/>
    <w:rsid w:val="004E4587"/>
    <w:rsid w:val="004F04F5"/>
    <w:rsid w:val="00513196"/>
    <w:rsid w:val="005269BC"/>
    <w:rsid w:val="00531ABB"/>
    <w:rsid w:val="0053309E"/>
    <w:rsid w:val="00540555"/>
    <w:rsid w:val="00556451"/>
    <w:rsid w:val="00564DB0"/>
    <w:rsid w:val="0056743E"/>
    <w:rsid w:val="00567799"/>
    <w:rsid w:val="00570373"/>
    <w:rsid w:val="0057140D"/>
    <w:rsid w:val="00576A8F"/>
    <w:rsid w:val="00580C27"/>
    <w:rsid w:val="00582813"/>
    <w:rsid w:val="00583B23"/>
    <w:rsid w:val="0058665B"/>
    <w:rsid w:val="005A5EEA"/>
    <w:rsid w:val="005B48BF"/>
    <w:rsid w:val="005B6201"/>
    <w:rsid w:val="005E2E37"/>
    <w:rsid w:val="005E4FBD"/>
    <w:rsid w:val="0060430D"/>
    <w:rsid w:val="00630131"/>
    <w:rsid w:val="00633B14"/>
    <w:rsid w:val="00646100"/>
    <w:rsid w:val="00653317"/>
    <w:rsid w:val="00660A6A"/>
    <w:rsid w:val="00664642"/>
    <w:rsid w:val="00670193"/>
    <w:rsid w:val="00670798"/>
    <w:rsid w:val="00673A7D"/>
    <w:rsid w:val="00685797"/>
    <w:rsid w:val="00690644"/>
    <w:rsid w:val="00690C9F"/>
    <w:rsid w:val="006927B0"/>
    <w:rsid w:val="006A1E63"/>
    <w:rsid w:val="006C450E"/>
    <w:rsid w:val="006C6551"/>
    <w:rsid w:val="006D0E91"/>
    <w:rsid w:val="006D11E1"/>
    <w:rsid w:val="006D24C3"/>
    <w:rsid w:val="006E4636"/>
    <w:rsid w:val="006F4477"/>
    <w:rsid w:val="00702966"/>
    <w:rsid w:val="007051AD"/>
    <w:rsid w:val="00712AA7"/>
    <w:rsid w:val="007134D0"/>
    <w:rsid w:val="00714D4A"/>
    <w:rsid w:val="00715B29"/>
    <w:rsid w:val="00720295"/>
    <w:rsid w:val="00750779"/>
    <w:rsid w:val="00755AC7"/>
    <w:rsid w:val="0076276E"/>
    <w:rsid w:val="007771E3"/>
    <w:rsid w:val="007830B9"/>
    <w:rsid w:val="007931B8"/>
    <w:rsid w:val="00794865"/>
    <w:rsid w:val="007954A1"/>
    <w:rsid w:val="007A174C"/>
    <w:rsid w:val="007A2876"/>
    <w:rsid w:val="007A7D2A"/>
    <w:rsid w:val="007D3ABD"/>
    <w:rsid w:val="007E0035"/>
    <w:rsid w:val="007F052F"/>
    <w:rsid w:val="007F2F4F"/>
    <w:rsid w:val="007F5D38"/>
    <w:rsid w:val="00802F73"/>
    <w:rsid w:val="008064C1"/>
    <w:rsid w:val="008210C1"/>
    <w:rsid w:val="008438F0"/>
    <w:rsid w:val="008520BE"/>
    <w:rsid w:val="00856BD4"/>
    <w:rsid w:val="0086019C"/>
    <w:rsid w:val="00863187"/>
    <w:rsid w:val="008676B9"/>
    <w:rsid w:val="00875CFF"/>
    <w:rsid w:val="00881CAA"/>
    <w:rsid w:val="00886ABD"/>
    <w:rsid w:val="0089648A"/>
    <w:rsid w:val="008971D5"/>
    <w:rsid w:val="008C0C1F"/>
    <w:rsid w:val="008C2BB2"/>
    <w:rsid w:val="008D7750"/>
    <w:rsid w:val="008F36DB"/>
    <w:rsid w:val="00901561"/>
    <w:rsid w:val="009054E2"/>
    <w:rsid w:val="009122CF"/>
    <w:rsid w:val="00916938"/>
    <w:rsid w:val="00923F3F"/>
    <w:rsid w:val="00930A5F"/>
    <w:rsid w:val="00930F1C"/>
    <w:rsid w:val="00931FB9"/>
    <w:rsid w:val="009320ED"/>
    <w:rsid w:val="009361C9"/>
    <w:rsid w:val="009404A5"/>
    <w:rsid w:val="00941588"/>
    <w:rsid w:val="00944B50"/>
    <w:rsid w:val="0094586F"/>
    <w:rsid w:val="00956A18"/>
    <w:rsid w:val="00957C2E"/>
    <w:rsid w:val="00963364"/>
    <w:rsid w:val="009B03DC"/>
    <w:rsid w:val="009C7CDA"/>
    <w:rsid w:val="009D09FD"/>
    <w:rsid w:val="009D3ACD"/>
    <w:rsid w:val="009E022E"/>
    <w:rsid w:val="009E5A6B"/>
    <w:rsid w:val="00A002EF"/>
    <w:rsid w:val="00A02780"/>
    <w:rsid w:val="00A205F3"/>
    <w:rsid w:val="00A226A5"/>
    <w:rsid w:val="00A2549E"/>
    <w:rsid w:val="00A31E45"/>
    <w:rsid w:val="00A55239"/>
    <w:rsid w:val="00A55AD5"/>
    <w:rsid w:val="00A76F9D"/>
    <w:rsid w:val="00A863ED"/>
    <w:rsid w:val="00A90809"/>
    <w:rsid w:val="00A912AB"/>
    <w:rsid w:val="00A91BC6"/>
    <w:rsid w:val="00AC6704"/>
    <w:rsid w:val="00AC6791"/>
    <w:rsid w:val="00AC6D68"/>
    <w:rsid w:val="00AD626B"/>
    <w:rsid w:val="00AE6BC8"/>
    <w:rsid w:val="00AF45D6"/>
    <w:rsid w:val="00B00217"/>
    <w:rsid w:val="00B067C2"/>
    <w:rsid w:val="00B10DB5"/>
    <w:rsid w:val="00B1352F"/>
    <w:rsid w:val="00B17BC7"/>
    <w:rsid w:val="00B2421D"/>
    <w:rsid w:val="00B32BA2"/>
    <w:rsid w:val="00B33AB0"/>
    <w:rsid w:val="00B41D2C"/>
    <w:rsid w:val="00B45F25"/>
    <w:rsid w:val="00B50D23"/>
    <w:rsid w:val="00B563E7"/>
    <w:rsid w:val="00B7006E"/>
    <w:rsid w:val="00B82E26"/>
    <w:rsid w:val="00B91901"/>
    <w:rsid w:val="00B939C1"/>
    <w:rsid w:val="00B971C5"/>
    <w:rsid w:val="00BA6413"/>
    <w:rsid w:val="00BC4856"/>
    <w:rsid w:val="00BD1894"/>
    <w:rsid w:val="00BD35E3"/>
    <w:rsid w:val="00BE2C05"/>
    <w:rsid w:val="00BE3957"/>
    <w:rsid w:val="00BE78D4"/>
    <w:rsid w:val="00BF1CEF"/>
    <w:rsid w:val="00C00133"/>
    <w:rsid w:val="00C02E85"/>
    <w:rsid w:val="00C11368"/>
    <w:rsid w:val="00C167CC"/>
    <w:rsid w:val="00C237EE"/>
    <w:rsid w:val="00C24109"/>
    <w:rsid w:val="00C320B8"/>
    <w:rsid w:val="00C35BCA"/>
    <w:rsid w:val="00C44127"/>
    <w:rsid w:val="00C44E3F"/>
    <w:rsid w:val="00C61C19"/>
    <w:rsid w:val="00C6423D"/>
    <w:rsid w:val="00C65585"/>
    <w:rsid w:val="00C774EE"/>
    <w:rsid w:val="00C805D4"/>
    <w:rsid w:val="00C85E69"/>
    <w:rsid w:val="00C873CB"/>
    <w:rsid w:val="00C87831"/>
    <w:rsid w:val="00CA5252"/>
    <w:rsid w:val="00CA77F7"/>
    <w:rsid w:val="00CB077B"/>
    <w:rsid w:val="00CB1954"/>
    <w:rsid w:val="00CB4D8E"/>
    <w:rsid w:val="00CB6F57"/>
    <w:rsid w:val="00CB7F64"/>
    <w:rsid w:val="00CC0EB9"/>
    <w:rsid w:val="00CC1BE2"/>
    <w:rsid w:val="00CD2223"/>
    <w:rsid w:val="00CD34CA"/>
    <w:rsid w:val="00CE449B"/>
    <w:rsid w:val="00D07351"/>
    <w:rsid w:val="00D1110D"/>
    <w:rsid w:val="00D14783"/>
    <w:rsid w:val="00D22FFD"/>
    <w:rsid w:val="00D23110"/>
    <w:rsid w:val="00D24796"/>
    <w:rsid w:val="00D25176"/>
    <w:rsid w:val="00D451C1"/>
    <w:rsid w:val="00D64C4F"/>
    <w:rsid w:val="00D67809"/>
    <w:rsid w:val="00D715D0"/>
    <w:rsid w:val="00D856D6"/>
    <w:rsid w:val="00D86D75"/>
    <w:rsid w:val="00D963D5"/>
    <w:rsid w:val="00DC7943"/>
    <w:rsid w:val="00DD36B9"/>
    <w:rsid w:val="00DD5185"/>
    <w:rsid w:val="00DF3445"/>
    <w:rsid w:val="00DF3547"/>
    <w:rsid w:val="00E00DA7"/>
    <w:rsid w:val="00E120A0"/>
    <w:rsid w:val="00E1499E"/>
    <w:rsid w:val="00E224AF"/>
    <w:rsid w:val="00E3516B"/>
    <w:rsid w:val="00E465F4"/>
    <w:rsid w:val="00E607F3"/>
    <w:rsid w:val="00E61311"/>
    <w:rsid w:val="00E657FA"/>
    <w:rsid w:val="00E918DB"/>
    <w:rsid w:val="00E96A74"/>
    <w:rsid w:val="00EA3EF6"/>
    <w:rsid w:val="00EA5072"/>
    <w:rsid w:val="00EA5410"/>
    <w:rsid w:val="00EB2806"/>
    <w:rsid w:val="00F0575E"/>
    <w:rsid w:val="00F2335A"/>
    <w:rsid w:val="00F24C98"/>
    <w:rsid w:val="00F576C5"/>
    <w:rsid w:val="00F609CE"/>
    <w:rsid w:val="00F61FC7"/>
    <w:rsid w:val="00F66479"/>
    <w:rsid w:val="00F7640F"/>
    <w:rsid w:val="00F779EB"/>
    <w:rsid w:val="00FA333F"/>
    <w:rsid w:val="00FA4A6B"/>
    <w:rsid w:val="00FA67A0"/>
    <w:rsid w:val="00FC0CC0"/>
    <w:rsid w:val="00FC1430"/>
    <w:rsid w:val="00FC1C05"/>
    <w:rsid w:val="00FC3ADF"/>
    <w:rsid w:val="00FC7535"/>
    <w:rsid w:val="00FC78FF"/>
    <w:rsid w:val="00FF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6BBC4"/>
  <w15:chartTrackingRefBased/>
  <w15:docId w15:val="{B55035CF-29C4-4D75-89B2-ECA89F6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9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hod">
    <w:name w:val="Method"/>
    <w:basedOn w:val="Normal"/>
    <w:rsid w:val="00F609CE"/>
    <w:pPr>
      <w:tabs>
        <w:tab w:val="left" w:pos="2160"/>
      </w:tabs>
      <w:spacing w:after="240"/>
    </w:pPr>
    <w:rPr>
      <w:rFonts w:ascii="Arial" w:hAnsi="Arial"/>
      <w:sz w:val="22"/>
      <w:szCs w:val="20"/>
    </w:rPr>
  </w:style>
  <w:style w:type="paragraph" w:customStyle="1" w:styleId="Analyte">
    <w:name w:val="Analyte"/>
    <w:basedOn w:val="Method"/>
    <w:rsid w:val="00F609CE"/>
    <w:pPr>
      <w:pBdr>
        <w:bottom w:val="single" w:sz="12" w:space="12" w:color="auto"/>
      </w:pBdr>
    </w:pPr>
  </w:style>
  <w:style w:type="paragraph" w:customStyle="1" w:styleId="10SOP">
    <w:name w:val="1.0 (SOP)"/>
    <w:basedOn w:val="Normal"/>
    <w:rsid w:val="00F609CE"/>
    <w:pPr>
      <w:keepNext/>
      <w:numPr>
        <w:numId w:val="1"/>
      </w:numPr>
      <w:tabs>
        <w:tab w:val="clear" w:pos="8460"/>
        <w:tab w:val="num" w:pos="720"/>
      </w:tabs>
      <w:spacing w:after="240"/>
      <w:ind w:left="720"/>
      <w:outlineLvl w:val="0"/>
    </w:pPr>
    <w:rPr>
      <w:rFonts w:ascii="Arial" w:hAnsi="Arial"/>
      <w:b/>
      <w:sz w:val="22"/>
      <w:szCs w:val="20"/>
    </w:rPr>
  </w:style>
  <w:style w:type="paragraph" w:customStyle="1" w:styleId="11SOP">
    <w:name w:val="1.1 (SOP)"/>
    <w:basedOn w:val="Normal"/>
    <w:rsid w:val="00F609CE"/>
    <w:pPr>
      <w:numPr>
        <w:ilvl w:val="1"/>
        <w:numId w:val="1"/>
      </w:numPr>
      <w:tabs>
        <w:tab w:val="clear" w:pos="2070"/>
        <w:tab w:val="num" w:pos="1440"/>
      </w:tabs>
      <w:spacing w:after="240"/>
      <w:ind w:left="1440"/>
      <w:outlineLvl w:val="1"/>
    </w:pPr>
    <w:rPr>
      <w:rFonts w:ascii="Arial" w:hAnsi="Arial"/>
      <w:sz w:val="22"/>
      <w:szCs w:val="20"/>
    </w:rPr>
  </w:style>
  <w:style w:type="paragraph" w:customStyle="1" w:styleId="111SOP">
    <w:name w:val="1.1.1 (SOP)"/>
    <w:basedOn w:val="Normal"/>
    <w:rsid w:val="00F609CE"/>
    <w:pPr>
      <w:numPr>
        <w:ilvl w:val="2"/>
        <w:numId w:val="1"/>
      </w:numPr>
      <w:tabs>
        <w:tab w:val="clear" w:pos="7020"/>
        <w:tab w:val="num" w:pos="2970"/>
      </w:tabs>
      <w:spacing w:after="240"/>
      <w:ind w:left="2970"/>
      <w:outlineLvl w:val="2"/>
    </w:pPr>
    <w:rPr>
      <w:rFonts w:ascii="Arial" w:hAnsi="Arial"/>
      <w:sz w:val="22"/>
      <w:szCs w:val="20"/>
    </w:rPr>
  </w:style>
  <w:style w:type="paragraph" w:customStyle="1" w:styleId="1111SOP">
    <w:name w:val="1.1.1.1 (SOP)"/>
    <w:basedOn w:val="Normal"/>
    <w:rsid w:val="00F609CE"/>
    <w:pPr>
      <w:numPr>
        <w:ilvl w:val="3"/>
        <w:numId w:val="1"/>
      </w:numPr>
      <w:spacing w:after="240"/>
      <w:outlineLvl w:val="3"/>
    </w:pPr>
    <w:rPr>
      <w:rFonts w:ascii="Arial" w:hAnsi="Arial"/>
      <w:sz w:val="22"/>
      <w:szCs w:val="20"/>
    </w:rPr>
  </w:style>
  <w:style w:type="paragraph" w:customStyle="1" w:styleId="Calcsunder11">
    <w:name w:val="Calcs (under 1.1)"/>
    <w:basedOn w:val="Normal"/>
    <w:rsid w:val="00F609CE"/>
    <w:pPr>
      <w:tabs>
        <w:tab w:val="left" w:pos="2160"/>
        <w:tab w:val="center" w:pos="4680"/>
      </w:tabs>
      <w:ind w:left="1440"/>
    </w:pPr>
    <w:rPr>
      <w:rFonts w:ascii="Arial" w:hAnsi="Arial"/>
      <w:sz w:val="20"/>
      <w:szCs w:val="20"/>
    </w:rPr>
  </w:style>
  <w:style w:type="paragraph" w:customStyle="1" w:styleId="11111SOP">
    <w:name w:val="1.1.1.1.1 (SOP)"/>
    <w:basedOn w:val="Normal"/>
    <w:rsid w:val="00F609CE"/>
    <w:pPr>
      <w:numPr>
        <w:ilvl w:val="4"/>
        <w:numId w:val="1"/>
      </w:numPr>
      <w:spacing w:after="240"/>
      <w:outlineLvl w:val="4"/>
    </w:pPr>
    <w:rPr>
      <w:rFonts w:ascii="Arial" w:hAnsi="Arial"/>
      <w:sz w:val="22"/>
      <w:szCs w:val="20"/>
    </w:rPr>
  </w:style>
  <w:style w:type="paragraph" w:styleId="BodyTextIndent">
    <w:name w:val="Body Text Indent"/>
    <w:basedOn w:val="Normal"/>
    <w:rsid w:val="00F609CE"/>
    <w:pPr>
      <w:ind w:left="720"/>
    </w:pPr>
    <w:rPr>
      <w:rFonts w:ascii="Arial" w:hAnsi="Arial"/>
      <w:sz w:val="22"/>
      <w:szCs w:val="20"/>
    </w:rPr>
  </w:style>
  <w:style w:type="paragraph" w:customStyle="1" w:styleId="Title-Method">
    <w:name w:val="Title-Method"/>
    <w:basedOn w:val="Method"/>
    <w:rsid w:val="00F609CE"/>
    <w:rPr>
      <w:bCs/>
    </w:rPr>
  </w:style>
  <w:style w:type="paragraph" w:styleId="Header">
    <w:name w:val="header"/>
    <w:basedOn w:val="Normal"/>
    <w:link w:val="HeaderChar"/>
    <w:uiPriority w:val="99"/>
    <w:rsid w:val="00F609CE"/>
    <w:pPr>
      <w:tabs>
        <w:tab w:val="center" w:pos="4320"/>
        <w:tab w:val="right" w:pos="8640"/>
      </w:tabs>
    </w:pPr>
  </w:style>
  <w:style w:type="paragraph" w:styleId="Footer">
    <w:name w:val="footer"/>
    <w:basedOn w:val="Normal"/>
    <w:link w:val="FooterChar"/>
    <w:uiPriority w:val="99"/>
    <w:rsid w:val="00F609CE"/>
    <w:pPr>
      <w:tabs>
        <w:tab w:val="center" w:pos="4320"/>
        <w:tab w:val="right" w:pos="8640"/>
      </w:tabs>
    </w:pPr>
  </w:style>
  <w:style w:type="table" w:styleId="TableGrid">
    <w:name w:val="Table Grid"/>
    <w:basedOn w:val="TableNormal"/>
    <w:uiPriority w:val="59"/>
    <w:rsid w:val="0094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0B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43E6D"/>
    <w:rPr>
      <w:rFonts w:ascii="Segoe UI" w:hAnsi="Segoe UI" w:cs="Segoe UI"/>
      <w:sz w:val="18"/>
      <w:szCs w:val="18"/>
    </w:rPr>
  </w:style>
  <w:style w:type="character" w:customStyle="1" w:styleId="BalloonTextChar">
    <w:name w:val="Balloon Text Char"/>
    <w:basedOn w:val="DefaultParagraphFont"/>
    <w:link w:val="BalloonText"/>
    <w:rsid w:val="00043E6D"/>
    <w:rPr>
      <w:rFonts w:ascii="Segoe UI" w:hAnsi="Segoe UI" w:cs="Segoe UI"/>
      <w:sz w:val="18"/>
      <w:szCs w:val="18"/>
    </w:rPr>
  </w:style>
  <w:style w:type="character" w:customStyle="1" w:styleId="FooterChar">
    <w:name w:val="Footer Char"/>
    <w:basedOn w:val="DefaultParagraphFont"/>
    <w:link w:val="Footer"/>
    <w:uiPriority w:val="99"/>
    <w:rsid w:val="001671DA"/>
    <w:rPr>
      <w:sz w:val="24"/>
      <w:szCs w:val="24"/>
    </w:rPr>
  </w:style>
  <w:style w:type="character" w:styleId="PlaceholderText">
    <w:name w:val="Placeholder Text"/>
    <w:basedOn w:val="DefaultParagraphFont"/>
    <w:uiPriority w:val="99"/>
    <w:semiHidden/>
    <w:rsid w:val="00556451"/>
    <w:rPr>
      <w:color w:val="808080"/>
    </w:rPr>
  </w:style>
  <w:style w:type="character" w:styleId="Hyperlink">
    <w:name w:val="Hyperlink"/>
    <w:basedOn w:val="DefaultParagraphFont"/>
    <w:rsid w:val="00690C9F"/>
    <w:rPr>
      <w:color w:val="0563C1" w:themeColor="hyperlink"/>
      <w:u w:val="single"/>
    </w:rPr>
  </w:style>
  <w:style w:type="character" w:styleId="UnresolvedMention">
    <w:name w:val="Unresolved Mention"/>
    <w:basedOn w:val="DefaultParagraphFont"/>
    <w:uiPriority w:val="99"/>
    <w:semiHidden/>
    <w:unhideWhenUsed/>
    <w:rsid w:val="00690C9F"/>
    <w:rPr>
      <w:color w:val="808080"/>
      <w:shd w:val="clear" w:color="auto" w:fill="E6E6E6"/>
    </w:rPr>
  </w:style>
  <w:style w:type="character" w:customStyle="1" w:styleId="HeaderChar">
    <w:name w:val="Header Char"/>
    <w:basedOn w:val="DefaultParagraphFont"/>
    <w:link w:val="Header"/>
    <w:uiPriority w:val="99"/>
    <w:rsid w:val="008064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505722">
      <w:bodyDiv w:val="1"/>
      <w:marLeft w:val="0"/>
      <w:marRight w:val="0"/>
      <w:marTop w:val="0"/>
      <w:marBottom w:val="0"/>
      <w:divBdr>
        <w:top w:val="none" w:sz="0" w:space="0" w:color="auto"/>
        <w:left w:val="none" w:sz="0" w:space="0" w:color="auto"/>
        <w:bottom w:val="none" w:sz="0" w:space="0" w:color="auto"/>
        <w:right w:val="none" w:sz="0" w:space="0" w:color="auto"/>
      </w:divBdr>
    </w:div>
    <w:div w:id="170540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FBBB2-202C-43BB-BB19-03897343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Village of Twin Lakes Wastewater Treatment Plant Laboratory</vt:lpstr>
    </vt:vector>
  </TitlesOfParts>
  <Company>Village of Twin Lakes</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Twin Lakes Wastewater Treatment Plant Laboratory</dc:title>
  <dc:subject/>
  <dc:creator>WWTF</dc:creator>
  <cp:keywords/>
  <cp:lastModifiedBy>Brandy</cp:lastModifiedBy>
  <cp:revision>2</cp:revision>
  <dcterms:created xsi:type="dcterms:W3CDTF">2021-10-15T20:05:00Z</dcterms:created>
  <dcterms:modified xsi:type="dcterms:W3CDTF">2021-10-15T20:05:00Z</dcterms:modified>
</cp:coreProperties>
</file>