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Ind w:w="-5" w:type="dxa"/>
        <w:tblLook w:val="04A0" w:firstRow="1" w:lastRow="0" w:firstColumn="1" w:lastColumn="0" w:noHBand="0" w:noVBand="1"/>
      </w:tblPr>
      <w:tblGrid>
        <w:gridCol w:w="2700"/>
        <w:gridCol w:w="6660"/>
      </w:tblGrid>
      <w:tr w:rsidR="00B02DAF" w:rsidRPr="00D26E23" w14:paraId="41CA509D" w14:textId="77777777" w:rsidTr="00796F8F">
        <w:trPr>
          <w:trHeight w:val="611"/>
        </w:trPr>
        <w:tc>
          <w:tcPr>
            <w:tcW w:w="2700" w:type="dxa"/>
            <w:vAlign w:val="center"/>
          </w:tcPr>
          <w:p w14:paraId="5E14B90A" w14:textId="77777777" w:rsidR="00B02DAF" w:rsidRPr="00D26E23" w:rsidRDefault="00B02DAF" w:rsidP="00796F8F">
            <w:pPr>
              <w:pStyle w:val="BodyTextIndent"/>
              <w:ind w:left="0"/>
              <w:jc w:val="right"/>
              <w:rPr>
                <w:b/>
                <w:szCs w:val="22"/>
              </w:rPr>
            </w:pPr>
            <w:r w:rsidRPr="00D26E23">
              <w:rPr>
                <w:b/>
                <w:szCs w:val="22"/>
              </w:rPr>
              <w:t>TITLE:</w:t>
            </w:r>
          </w:p>
        </w:tc>
        <w:tc>
          <w:tcPr>
            <w:tcW w:w="6660" w:type="dxa"/>
            <w:vAlign w:val="center"/>
          </w:tcPr>
          <w:p w14:paraId="5C0B8A6D" w14:textId="77777777" w:rsidR="00B02DAF" w:rsidRPr="00B02DAF" w:rsidRDefault="00B02DAF" w:rsidP="00796F8F">
            <w:pPr>
              <w:pStyle w:val="BodyTextIndent"/>
              <w:ind w:left="0"/>
              <w:rPr>
                <w:b/>
                <w:szCs w:val="22"/>
              </w:rPr>
            </w:pPr>
            <w:r w:rsidRPr="00B02DAF">
              <w:rPr>
                <w:b/>
              </w:rPr>
              <w:t>Biochemical Oxygen Demand (BOD), 5-day</w:t>
            </w:r>
          </w:p>
        </w:tc>
      </w:tr>
      <w:tr w:rsidR="00B02DAF" w:rsidRPr="00D26E23" w14:paraId="69C8E08E" w14:textId="77777777" w:rsidTr="00796F8F">
        <w:trPr>
          <w:trHeight w:val="440"/>
        </w:trPr>
        <w:tc>
          <w:tcPr>
            <w:tcW w:w="2700" w:type="dxa"/>
            <w:vAlign w:val="center"/>
          </w:tcPr>
          <w:p w14:paraId="098368C9" w14:textId="77777777" w:rsidR="00B02DAF" w:rsidRPr="00D26E23" w:rsidRDefault="00B02DAF" w:rsidP="00796F8F">
            <w:pPr>
              <w:pStyle w:val="BodyTextIndent"/>
              <w:ind w:left="0"/>
              <w:jc w:val="right"/>
              <w:rPr>
                <w:b/>
                <w:szCs w:val="22"/>
              </w:rPr>
            </w:pPr>
            <w:r w:rsidRPr="00D26E23">
              <w:rPr>
                <w:b/>
                <w:szCs w:val="22"/>
              </w:rPr>
              <w:t>ANALYTE:</w:t>
            </w:r>
          </w:p>
        </w:tc>
        <w:tc>
          <w:tcPr>
            <w:tcW w:w="6660" w:type="dxa"/>
            <w:vAlign w:val="center"/>
          </w:tcPr>
          <w:p w14:paraId="1157A104" w14:textId="77777777" w:rsidR="00B02DAF" w:rsidRPr="00D26E23" w:rsidRDefault="00B02DAF" w:rsidP="00796F8F">
            <w:pPr>
              <w:pStyle w:val="BodyTextIndent"/>
              <w:ind w:left="0"/>
              <w:rPr>
                <w:b/>
                <w:szCs w:val="22"/>
              </w:rPr>
            </w:pPr>
            <w:r>
              <w:rPr>
                <w:b/>
                <w:szCs w:val="22"/>
              </w:rPr>
              <w:t>Biochemical Oxygen Demand</w:t>
            </w:r>
          </w:p>
        </w:tc>
      </w:tr>
      <w:tr w:rsidR="00B02DAF" w:rsidRPr="00D26E23" w14:paraId="400BBA7C" w14:textId="77777777" w:rsidTr="00796F8F">
        <w:trPr>
          <w:trHeight w:val="440"/>
        </w:trPr>
        <w:tc>
          <w:tcPr>
            <w:tcW w:w="2700" w:type="dxa"/>
            <w:vAlign w:val="center"/>
          </w:tcPr>
          <w:p w14:paraId="5A5B9A13" w14:textId="77777777" w:rsidR="00B02DAF" w:rsidRPr="00D26E23" w:rsidRDefault="00B02DAF" w:rsidP="00796F8F">
            <w:pPr>
              <w:pStyle w:val="BodyTextIndent"/>
              <w:ind w:left="0"/>
              <w:jc w:val="right"/>
              <w:rPr>
                <w:b/>
                <w:szCs w:val="22"/>
              </w:rPr>
            </w:pPr>
            <w:r w:rsidRPr="00D26E23">
              <w:rPr>
                <w:b/>
                <w:szCs w:val="22"/>
              </w:rPr>
              <w:t>FACILITY:</w:t>
            </w:r>
          </w:p>
        </w:tc>
        <w:tc>
          <w:tcPr>
            <w:tcW w:w="6660" w:type="dxa"/>
            <w:vAlign w:val="center"/>
          </w:tcPr>
          <w:p w14:paraId="0732B9BA" w14:textId="77777777" w:rsidR="00B02DAF" w:rsidRPr="00D26E23" w:rsidRDefault="00B02DAF" w:rsidP="00796F8F">
            <w:pPr>
              <w:pStyle w:val="BodyTextIndent"/>
              <w:ind w:left="0"/>
              <w:rPr>
                <w:b/>
                <w:szCs w:val="22"/>
              </w:rPr>
            </w:pPr>
            <w:r w:rsidRPr="00D26E23">
              <w:rPr>
                <w:b/>
                <w:szCs w:val="22"/>
              </w:rPr>
              <w:t>Acme WWTP</w:t>
            </w:r>
          </w:p>
        </w:tc>
      </w:tr>
      <w:tr w:rsidR="00B02DAF" w:rsidRPr="00D26E23" w14:paraId="67A0CF22" w14:textId="77777777" w:rsidTr="00796F8F">
        <w:trPr>
          <w:trHeight w:val="449"/>
        </w:trPr>
        <w:tc>
          <w:tcPr>
            <w:tcW w:w="2700" w:type="dxa"/>
            <w:vAlign w:val="center"/>
          </w:tcPr>
          <w:p w14:paraId="1CFDFD71" w14:textId="77777777" w:rsidR="00B02DAF" w:rsidRPr="00D26E23" w:rsidRDefault="00B02DAF" w:rsidP="00796F8F">
            <w:pPr>
              <w:pStyle w:val="BodyTextIndent"/>
              <w:ind w:left="0"/>
              <w:jc w:val="right"/>
              <w:rPr>
                <w:b/>
                <w:szCs w:val="22"/>
              </w:rPr>
            </w:pPr>
            <w:r w:rsidRPr="00D26E23">
              <w:rPr>
                <w:b/>
                <w:szCs w:val="22"/>
              </w:rPr>
              <w:t>REFERENCE METHOD:</w:t>
            </w:r>
          </w:p>
        </w:tc>
        <w:tc>
          <w:tcPr>
            <w:tcW w:w="6660" w:type="dxa"/>
            <w:vAlign w:val="center"/>
          </w:tcPr>
          <w:p w14:paraId="56F09C16" w14:textId="77777777" w:rsidR="00B02DAF" w:rsidRPr="00D26E23" w:rsidRDefault="00B02DAF" w:rsidP="00796F8F">
            <w:pPr>
              <w:pStyle w:val="BodyTextIndent"/>
              <w:ind w:left="0"/>
              <w:rPr>
                <w:b/>
                <w:szCs w:val="22"/>
              </w:rPr>
            </w:pPr>
            <w:r w:rsidRPr="00D26E23">
              <w:rPr>
                <w:b/>
                <w:szCs w:val="22"/>
                <w:u w:val="single"/>
              </w:rPr>
              <w:t>Standard Methods</w:t>
            </w:r>
            <w:r w:rsidRPr="00D26E23">
              <w:rPr>
                <w:b/>
                <w:szCs w:val="22"/>
              </w:rPr>
              <w:t xml:space="preserve"> </w:t>
            </w:r>
            <w:r w:rsidRPr="00F66479">
              <w:rPr>
                <w:b/>
                <w:bCs/>
              </w:rPr>
              <w:t xml:space="preserve">5210 </w:t>
            </w:r>
            <w:r w:rsidR="000D4595">
              <w:rPr>
                <w:b/>
                <w:bCs/>
              </w:rPr>
              <w:t xml:space="preserve">B – </w:t>
            </w:r>
            <w:r w:rsidRPr="00F66479">
              <w:rPr>
                <w:b/>
                <w:bCs/>
              </w:rPr>
              <w:t>200</w:t>
            </w:r>
            <w:r>
              <w:rPr>
                <w:b/>
                <w:bCs/>
              </w:rPr>
              <w:t>1</w:t>
            </w:r>
          </w:p>
        </w:tc>
      </w:tr>
      <w:tr w:rsidR="00B02DAF" w:rsidRPr="00D26E23" w14:paraId="78137575" w14:textId="77777777" w:rsidTr="00796F8F">
        <w:trPr>
          <w:trHeight w:val="521"/>
        </w:trPr>
        <w:tc>
          <w:tcPr>
            <w:tcW w:w="2700" w:type="dxa"/>
            <w:vAlign w:val="center"/>
          </w:tcPr>
          <w:p w14:paraId="1F372EB5" w14:textId="77777777" w:rsidR="00B02DAF" w:rsidRPr="00D26E23" w:rsidRDefault="00B02DAF" w:rsidP="00796F8F">
            <w:pPr>
              <w:pStyle w:val="BodyTextIndent"/>
              <w:ind w:left="0"/>
              <w:jc w:val="right"/>
              <w:rPr>
                <w:b/>
                <w:szCs w:val="22"/>
              </w:rPr>
            </w:pPr>
            <w:r w:rsidRPr="00D26E23">
              <w:rPr>
                <w:b/>
                <w:szCs w:val="22"/>
              </w:rPr>
              <w:t>DATE OF ISSUE:</w:t>
            </w:r>
          </w:p>
        </w:tc>
        <w:tc>
          <w:tcPr>
            <w:tcW w:w="6660" w:type="dxa"/>
            <w:vAlign w:val="center"/>
          </w:tcPr>
          <w:p w14:paraId="2307AA0D" w14:textId="4609C9A3" w:rsidR="00B02DAF" w:rsidRPr="00D26E23" w:rsidRDefault="00076543" w:rsidP="00796F8F">
            <w:pPr>
              <w:pStyle w:val="BodyTextIndent"/>
              <w:ind w:left="0"/>
              <w:rPr>
                <w:b/>
                <w:szCs w:val="22"/>
              </w:rPr>
            </w:pPr>
            <w:r>
              <w:rPr>
                <w:b/>
                <w:szCs w:val="22"/>
              </w:rPr>
              <w:t>9/7/21</w:t>
            </w:r>
          </w:p>
        </w:tc>
      </w:tr>
    </w:tbl>
    <w:p w14:paraId="1D8E0750" w14:textId="77777777" w:rsidR="00B02DAF" w:rsidRDefault="00B02DAF" w:rsidP="00B02DAF">
      <w:pPr>
        <w:pStyle w:val="10SOP"/>
        <w:numPr>
          <w:ilvl w:val="0"/>
          <w:numId w:val="0"/>
        </w:numPr>
        <w:ind w:left="720"/>
      </w:pPr>
    </w:p>
    <w:p w14:paraId="6CBB3AA3" w14:textId="77777777" w:rsidR="00F609CE" w:rsidRDefault="00F609CE" w:rsidP="00F609CE">
      <w:pPr>
        <w:pStyle w:val="10SOP"/>
      </w:pPr>
      <w:r>
        <w:t>Applicable Matrices</w:t>
      </w:r>
    </w:p>
    <w:p w14:paraId="65C5705B" w14:textId="77777777" w:rsidR="00F609CE" w:rsidRDefault="00CB6F57" w:rsidP="00F609CE">
      <w:pPr>
        <w:pStyle w:val="11SOP"/>
      </w:pPr>
      <w:r>
        <w:t xml:space="preserve">This method is applicable to domestic and </w:t>
      </w:r>
      <w:r w:rsidR="000E6C00">
        <w:t>industrial waste</w:t>
      </w:r>
      <w:r>
        <w:t xml:space="preserve"> matrices.</w:t>
      </w:r>
    </w:p>
    <w:p w14:paraId="627437AF" w14:textId="77777777" w:rsidR="00FC78FF" w:rsidRDefault="00FC78FF" w:rsidP="00FC78FF">
      <w:pPr>
        <w:pStyle w:val="10SOP"/>
      </w:pPr>
      <w:r>
        <w:t>Summary of the Test Method</w:t>
      </w:r>
    </w:p>
    <w:p w14:paraId="1F89329B" w14:textId="77777777" w:rsidR="00CB6F57" w:rsidRDefault="00CB6F57" w:rsidP="00FC78FF">
      <w:pPr>
        <w:pStyle w:val="11SOP"/>
      </w:pPr>
      <w:r>
        <w:t>The BOD test indicates the organic strength of wastewater. This data is used for submittal on the electronic Discharge Monitoring Report</w:t>
      </w:r>
      <w:r w:rsidR="00B50D23">
        <w:t xml:space="preserve"> (eDMR) and</w:t>
      </w:r>
      <w:r>
        <w:t xml:space="preserve"> is used for compliance of discharge limits.</w:t>
      </w:r>
    </w:p>
    <w:p w14:paraId="6D672BB6" w14:textId="77777777" w:rsidR="00FC78FF" w:rsidRDefault="00CB6F57" w:rsidP="00FC78FF">
      <w:pPr>
        <w:pStyle w:val="11SOP"/>
      </w:pPr>
      <w:r>
        <w:t xml:space="preserve">The BOD test is a bioassay procedure that empirically measures the dissolved oxygen consumed by a microbial population during the oxidation and incorporation of organic matter. Standard conditions for the test include incubation at </w:t>
      </w:r>
      <w:proofErr w:type="spellStart"/>
      <w:r>
        <w:t>20</w:t>
      </w:r>
      <w:r w:rsidR="0002243B">
        <w:t>°C</w:t>
      </w:r>
      <w:proofErr w:type="spellEnd"/>
      <w:r w:rsidR="0002243B">
        <w:t xml:space="preserve"> </w:t>
      </w:r>
      <w:r>
        <w:rPr>
          <w:rFonts w:cstheme="minorHAnsi"/>
        </w:rPr>
        <w:t>±</w:t>
      </w:r>
      <w:r w:rsidR="0002243B">
        <w:rPr>
          <w:rFonts w:cstheme="minorHAnsi"/>
        </w:rPr>
        <w:t xml:space="preserve"> </w:t>
      </w:r>
      <w:proofErr w:type="spellStart"/>
      <w:r>
        <w:t>1°C</w:t>
      </w:r>
      <w:proofErr w:type="spellEnd"/>
      <w:r>
        <w:t xml:space="preserve"> in darkness for 5 days (</w:t>
      </w:r>
      <w:r w:rsidR="006D24C3">
        <w:rPr>
          <w:rFonts w:cs="Arial"/>
        </w:rPr>
        <w:t>±</w:t>
      </w:r>
      <w:r w:rsidR="006D24C3">
        <w:t xml:space="preserve"> </w:t>
      </w:r>
      <w:r>
        <w:t xml:space="preserve">6 hours). Interpretation of the results obtained must take into account the laboratory’s ability to reproduce actual environmental conditions such as temperature, microbial population, sunlight, and water movement. The value of BOD results for raw and final domestic wastewater varies significantly between wastewater facilities depending on the industrial loading. Use past history to determine the appropriate volumes to use when preparing </w:t>
      </w:r>
      <w:r w:rsidR="00B50D23">
        <w:t xml:space="preserve">a </w:t>
      </w:r>
      <w:r>
        <w:t>sample dilution series</w:t>
      </w:r>
      <w:r w:rsidR="00FC78FF">
        <w:t>.</w:t>
      </w:r>
    </w:p>
    <w:p w14:paraId="2A04E94B" w14:textId="77777777" w:rsidR="00F609CE" w:rsidRDefault="00F609CE" w:rsidP="00F609CE">
      <w:pPr>
        <w:pStyle w:val="10SOP"/>
      </w:pPr>
      <w:r>
        <w:t>Safety</w:t>
      </w:r>
    </w:p>
    <w:p w14:paraId="1976A59C" w14:textId="77777777" w:rsidR="00F609CE" w:rsidRDefault="00F609CE" w:rsidP="00F609CE">
      <w:pPr>
        <w:pStyle w:val="11SOP"/>
      </w:pPr>
      <w:r>
        <w:t>Proper personal protection equipment, such as a lab coat, safety glasses, and nitrile gloves should be worn when performing any laboratory test.</w:t>
      </w:r>
    </w:p>
    <w:p w14:paraId="77BC1075" w14:textId="77777777" w:rsidR="00AE6BC8" w:rsidRDefault="00AE6BC8" w:rsidP="00F609CE">
      <w:pPr>
        <w:pStyle w:val="11SOP"/>
      </w:pPr>
      <w:r>
        <w:t>When using acid solutions</w:t>
      </w:r>
      <w:r w:rsidR="00802F73">
        <w:t>,</w:t>
      </w:r>
      <w:r>
        <w:t xml:space="preserve"> wear </w:t>
      </w:r>
      <w:r w:rsidR="00802F73">
        <w:t xml:space="preserve">appropriate protective clothing: </w:t>
      </w:r>
      <w:r>
        <w:t xml:space="preserve"> rubber apron, protective sleeves, gloves, and safety goggles or glasses.</w:t>
      </w:r>
    </w:p>
    <w:p w14:paraId="04D060F4" w14:textId="77777777" w:rsidR="00AE6BC8" w:rsidRDefault="00AE6BC8" w:rsidP="00F609CE">
      <w:pPr>
        <w:pStyle w:val="11SOP"/>
      </w:pPr>
      <w:r>
        <w:t>Always have adequate ventilation when working with acids, bases</w:t>
      </w:r>
      <w:r w:rsidR="00802F73">
        <w:t>,</w:t>
      </w:r>
      <w:r>
        <w:t xml:space="preserve"> and solvents to minimize exposure to vapors.</w:t>
      </w:r>
    </w:p>
    <w:p w14:paraId="49241B46" w14:textId="77777777" w:rsidR="00AE6BC8" w:rsidRDefault="00AE6BC8" w:rsidP="00AE6BC8">
      <w:pPr>
        <w:pStyle w:val="11SOP"/>
      </w:pPr>
      <w:r>
        <w:t xml:space="preserve">Refer to </w:t>
      </w:r>
      <w:r w:rsidR="00802F73">
        <w:t xml:space="preserve">the </w:t>
      </w:r>
      <w:r>
        <w:t>Safety Data Sheet for information on a specific chemical.</w:t>
      </w:r>
    </w:p>
    <w:p w14:paraId="093733D6" w14:textId="77777777" w:rsidR="00F609CE" w:rsidRDefault="00F609CE" w:rsidP="00F609CE">
      <w:pPr>
        <w:pStyle w:val="10SOP"/>
      </w:pPr>
      <w:r>
        <w:t>Equipment and Supplies</w:t>
      </w:r>
    </w:p>
    <w:p w14:paraId="25CC3F55" w14:textId="77777777" w:rsidR="009361C9" w:rsidRPr="00A704CD" w:rsidRDefault="00802F73" w:rsidP="00F609CE">
      <w:pPr>
        <w:pStyle w:val="11SOP"/>
        <w:rPr>
          <w:szCs w:val="22"/>
        </w:rPr>
      </w:pPr>
      <w:r>
        <w:t>O</w:t>
      </w:r>
      <w:r w:rsidR="00AE6BC8" w:rsidRPr="00AE6BC8">
        <w:t xml:space="preserve">ptical DO </w:t>
      </w:r>
      <w:r w:rsidR="00AE6BC8" w:rsidRPr="00A704CD">
        <w:t>Meter</w:t>
      </w:r>
      <w:r w:rsidR="00A704CD">
        <w:t>,</w:t>
      </w:r>
      <w:r w:rsidR="00AE6BC8" w:rsidRPr="00A704CD">
        <w:t xml:space="preserve"> </w:t>
      </w:r>
      <w:r w:rsidR="00A704CD">
        <w:t xml:space="preserve">ABC Company </w:t>
      </w:r>
      <w:r w:rsidR="00A704CD" w:rsidRPr="00A704CD">
        <w:t>Model 123</w:t>
      </w:r>
    </w:p>
    <w:p w14:paraId="27A66843" w14:textId="73B4AA93" w:rsidR="009361C9" w:rsidRPr="00AE6BC8" w:rsidRDefault="00AE6BC8" w:rsidP="00A704CD">
      <w:pPr>
        <w:pStyle w:val="111SOP"/>
        <w:ind w:hanging="990"/>
      </w:pPr>
      <w:r>
        <w:t xml:space="preserve">The internal barometer on the </w:t>
      </w:r>
      <w:r w:rsidR="00802F73">
        <w:t>DO meter</w:t>
      </w:r>
      <w:r>
        <w:t xml:space="preserve"> must be verified no less than </w:t>
      </w:r>
      <w:r w:rsidRPr="00AE6BC8">
        <w:t>once per year</w:t>
      </w:r>
      <w:r>
        <w:t>. To verify this (avoid if</w:t>
      </w:r>
      <w:r w:rsidR="00802F73">
        <w:t xml:space="preserve"> there is a storm approaching), </w:t>
      </w:r>
      <w:r>
        <w:t>check the sea level barometric pressure of the nearest</w:t>
      </w:r>
      <w:r w:rsidR="00802F73">
        <w:t xml:space="preserve"> airport or </w:t>
      </w:r>
      <w:r w:rsidR="005C78FD">
        <w:t>on a weather website</w:t>
      </w:r>
      <w:r>
        <w:t>. Correct this value by the local elevation</w:t>
      </w:r>
      <w:r w:rsidR="00802F73">
        <w:t xml:space="preserve">.  Record this </w:t>
      </w:r>
      <w:r w:rsidR="00802F73">
        <w:lastRenderedPageBreak/>
        <w:t xml:space="preserve">verification (this can be done on the </w:t>
      </w:r>
      <w:r w:rsidR="004A562B">
        <w:t xml:space="preserve">“Pressure Verification” tab on the </w:t>
      </w:r>
      <w:r w:rsidR="00802F73">
        <w:t>spreadsheet used for the BOD bench</w:t>
      </w:r>
      <w:r w:rsidR="0002243B">
        <w:t xml:space="preserve"> </w:t>
      </w:r>
      <w:r w:rsidR="00802F73">
        <w:t>sheet).</w:t>
      </w:r>
    </w:p>
    <w:p w14:paraId="35FA97A6" w14:textId="77777777" w:rsidR="00AE6BC8" w:rsidRPr="00AE6BC8" w:rsidRDefault="00AE6BC8" w:rsidP="00A704CD">
      <w:pPr>
        <w:pStyle w:val="10SOP"/>
        <w:numPr>
          <w:ilvl w:val="0"/>
          <w:numId w:val="0"/>
        </w:numPr>
        <w:ind w:left="2430"/>
        <w:rPr>
          <w:b w:val="0"/>
        </w:rPr>
      </w:pPr>
      <w:r w:rsidRPr="00AE6BC8">
        <w:rPr>
          <w:b w:val="0"/>
        </w:rPr>
        <w:t xml:space="preserve">Document the original barometric pressure, the sea level pressure, and corrected barometric pressure. If the </w:t>
      </w:r>
      <w:r w:rsidR="00FC1C05">
        <w:rPr>
          <w:b w:val="0"/>
        </w:rPr>
        <w:t>DO meter</w:t>
      </w:r>
      <w:r w:rsidRPr="00AE6BC8">
        <w:rPr>
          <w:b w:val="0"/>
        </w:rPr>
        <w:t xml:space="preserve"> barometer if off more than 5</w:t>
      </w:r>
      <w:r w:rsidR="00FC1C05">
        <w:rPr>
          <w:b w:val="0"/>
        </w:rPr>
        <w:t xml:space="preserve"> </w:t>
      </w:r>
      <w:r w:rsidRPr="00AE6BC8">
        <w:rPr>
          <w:b w:val="0"/>
        </w:rPr>
        <w:t>mm of Hg, adjust according to manufacturer</w:t>
      </w:r>
      <w:r w:rsidR="00EB42E8">
        <w:rPr>
          <w:b w:val="0"/>
        </w:rPr>
        <w:t>’s</w:t>
      </w:r>
      <w:r w:rsidRPr="00AE6BC8">
        <w:rPr>
          <w:b w:val="0"/>
        </w:rPr>
        <w:t xml:space="preserve"> instructions and note this on the baro</w:t>
      </w:r>
      <w:r w:rsidR="00374B04">
        <w:rPr>
          <w:b w:val="0"/>
        </w:rPr>
        <w:t xml:space="preserve">metric pressure verification log </w:t>
      </w:r>
      <w:r w:rsidRPr="00AE6BC8">
        <w:rPr>
          <w:b w:val="0"/>
        </w:rPr>
        <w:t>sheet. Include the date and initials.</w:t>
      </w:r>
    </w:p>
    <w:p w14:paraId="699895D1" w14:textId="77777777" w:rsidR="00AE6BC8" w:rsidRPr="00AE6BC8" w:rsidRDefault="00A704CD" w:rsidP="00A704CD">
      <w:pPr>
        <w:pStyle w:val="10SOP"/>
        <w:numPr>
          <w:ilvl w:val="0"/>
          <w:numId w:val="0"/>
        </w:numPr>
        <w:tabs>
          <w:tab w:val="left" w:pos="4230"/>
        </w:tabs>
        <w:ind w:left="2430"/>
        <w:contextualSpacing/>
        <w:rPr>
          <w:b w:val="0"/>
        </w:rPr>
      </w:pPr>
      <w:r>
        <w:rPr>
          <w:b w:val="0"/>
        </w:rPr>
        <w:t>E</w:t>
      </w:r>
      <w:r w:rsidR="00FC1C05">
        <w:rPr>
          <w:b w:val="0"/>
        </w:rPr>
        <w:t>levation correction =</w:t>
      </w:r>
      <w:r>
        <w:rPr>
          <w:b w:val="0"/>
        </w:rPr>
        <w:t xml:space="preserve"> </w:t>
      </w:r>
      <w:r w:rsidR="00AE6BC8" w:rsidRPr="00FC1C05">
        <w:rPr>
          <w:b w:val="0"/>
          <w:u w:val="single"/>
        </w:rPr>
        <w:t>760 mm Hg – (facility elevation in ft X 0.0254)</w:t>
      </w:r>
    </w:p>
    <w:p w14:paraId="1DB85CF4" w14:textId="77777777" w:rsidR="00AE6BC8" w:rsidRDefault="00AE6BC8" w:rsidP="00A704CD">
      <w:pPr>
        <w:pStyle w:val="10SOP"/>
        <w:numPr>
          <w:ilvl w:val="0"/>
          <w:numId w:val="0"/>
        </w:numPr>
        <w:tabs>
          <w:tab w:val="left" w:pos="6210"/>
        </w:tabs>
        <w:ind w:left="720"/>
        <w:contextualSpacing/>
        <w:rPr>
          <w:b w:val="0"/>
        </w:rPr>
      </w:pPr>
      <w:r w:rsidRPr="00AE6BC8">
        <w:rPr>
          <w:b w:val="0"/>
        </w:rPr>
        <w:t xml:space="preserve">                                                        </w:t>
      </w:r>
      <w:r w:rsidR="00FC1C05">
        <w:rPr>
          <w:b w:val="0"/>
        </w:rPr>
        <w:tab/>
      </w:r>
      <w:r w:rsidRPr="00AE6BC8">
        <w:rPr>
          <w:b w:val="0"/>
        </w:rPr>
        <w:t>760 mm Hg</w:t>
      </w:r>
    </w:p>
    <w:p w14:paraId="44D2B0F1" w14:textId="77777777" w:rsidR="00EB42E8" w:rsidRDefault="00EB42E8" w:rsidP="00FC1C05">
      <w:pPr>
        <w:pStyle w:val="10SOP"/>
        <w:numPr>
          <w:ilvl w:val="0"/>
          <w:numId w:val="0"/>
        </w:numPr>
        <w:tabs>
          <w:tab w:val="left" w:pos="5670"/>
        </w:tabs>
        <w:ind w:left="720"/>
        <w:contextualSpacing/>
        <w:rPr>
          <w:b w:val="0"/>
        </w:rPr>
      </w:pPr>
    </w:p>
    <w:p w14:paraId="61DADF25" w14:textId="77777777" w:rsidR="00EB42E8" w:rsidRPr="00AE6BC8" w:rsidRDefault="00EB42E8" w:rsidP="00A704CD">
      <w:pPr>
        <w:pStyle w:val="10SOP"/>
        <w:numPr>
          <w:ilvl w:val="0"/>
          <w:numId w:val="0"/>
        </w:numPr>
        <w:ind w:left="2430"/>
        <w:rPr>
          <w:b w:val="0"/>
        </w:rPr>
      </w:pPr>
      <w:r w:rsidRPr="00AE6BC8">
        <w:rPr>
          <w:b w:val="0"/>
        </w:rPr>
        <w:t xml:space="preserve">The elevation of </w:t>
      </w:r>
      <w:r>
        <w:rPr>
          <w:b w:val="0"/>
        </w:rPr>
        <w:t>Acme WWTP</w:t>
      </w:r>
      <w:r w:rsidRPr="00AE6BC8">
        <w:rPr>
          <w:b w:val="0"/>
        </w:rPr>
        <w:t xml:space="preserve"> is 1642</w:t>
      </w:r>
      <w:r>
        <w:rPr>
          <w:b w:val="0"/>
        </w:rPr>
        <w:t xml:space="preserve"> </w:t>
      </w:r>
      <w:r w:rsidRPr="00AE6BC8">
        <w:rPr>
          <w:b w:val="0"/>
        </w:rPr>
        <w:t>ft, so the eleva</w:t>
      </w:r>
      <w:r>
        <w:rPr>
          <w:b w:val="0"/>
        </w:rPr>
        <w:t>tion correction factor is 0.946.</w:t>
      </w:r>
      <w:r w:rsidRPr="00AE6BC8">
        <w:rPr>
          <w:b w:val="0"/>
        </w:rPr>
        <w:t xml:space="preserve"> </w:t>
      </w:r>
    </w:p>
    <w:p w14:paraId="24AF873A" w14:textId="77777777" w:rsidR="00A704CD" w:rsidRPr="00A704CD" w:rsidRDefault="00A704CD" w:rsidP="00DD5185">
      <w:pPr>
        <w:pStyle w:val="11SOP"/>
        <w:rPr>
          <w:snapToGrid w:val="0"/>
        </w:rPr>
      </w:pPr>
      <w:r>
        <w:rPr>
          <w:snapToGrid w:val="0"/>
        </w:rPr>
        <w:t>BOD Probe, ABC Company Model 456</w:t>
      </w:r>
    </w:p>
    <w:p w14:paraId="7CE38E6A" w14:textId="77777777" w:rsidR="00DD5185" w:rsidRDefault="00DD5185" w:rsidP="00DD5185">
      <w:pPr>
        <w:pStyle w:val="11SOP"/>
        <w:rPr>
          <w:snapToGrid w:val="0"/>
        </w:rPr>
      </w:pPr>
      <w:r w:rsidRPr="00802F73">
        <w:t xml:space="preserve">Incubator </w:t>
      </w:r>
      <w:r>
        <w:t xml:space="preserve">– Capable of maintaining a constant </w:t>
      </w:r>
      <w:proofErr w:type="spellStart"/>
      <w:r>
        <w:t>20°C</w:t>
      </w:r>
      <w:proofErr w:type="spellEnd"/>
      <w:r>
        <w:t xml:space="preserve"> ± </w:t>
      </w:r>
      <w:proofErr w:type="spellStart"/>
      <w:r>
        <w:t>1°C</w:t>
      </w:r>
      <w:proofErr w:type="spellEnd"/>
      <w:r>
        <w:t xml:space="preserve"> temperature range and excluding light (to eliminate </w:t>
      </w:r>
      <w:proofErr w:type="spellStart"/>
      <w:r>
        <w:t>O</w:t>
      </w:r>
      <w:r w:rsidRPr="00802F73">
        <w:rPr>
          <w:vertAlign w:val="subscript"/>
        </w:rPr>
        <w:t>2</w:t>
      </w:r>
      <w:proofErr w:type="spellEnd"/>
      <w:r>
        <w:t xml:space="preserve"> production from photosynthesis).  Temperatures are to be recorded on days of use.  If not within acceptable range, the thermostat is to be adjusted and noted on the incubator log or BOD bench sheet.</w:t>
      </w:r>
    </w:p>
    <w:p w14:paraId="40DB6A40" w14:textId="77777777" w:rsidR="00F66479" w:rsidRDefault="00F66479" w:rsidP="00F609CE">
      <w:pPr>
        <w:pStyle w:val="11SOP"/>
        <w:rPr>
          <w:szCs w:val="22"/>
        </w:rPr>
      </w:pPr>
      <w:r>
        <w:rPr>
          <w:szCs w:val="22"/>
        </w:rPr>
        <w:t>300-mL BOD bottles with glass stoppers</w:t>
      </w:r>
    </w:p>
    <w:p w14:paraId="3C87E8E6" w14:textId="77777777" w:rsidR="00F66479" w:rsidRDefault="00F66479" w:rsidP="00F609CE">
      <w:pPr>
        <w:pStyle w:val="11SOP"/>
        <w:rPr>
          <w:szCs w:val="22"/>
        </w:rPr>
      </w:pPr>
      <w:r>
        <w:rPr>
          <w:szCs w:val="22"/>
        </w:rPr>
        <w:t>Plastic BOD bottle over-caps</w:t>
      </w:r>
    </w:p>
    <w:p w14:paraId="44FE9C9E" w14:textId="77777777" w:rsidR="009361C9" w:rsidRDefault="00A704CD" w:rsidP="00F609CE">
      <w:pPr>
        <w:pStyle w:val="11SOP"/>
        <w:rPr>
          <w:szCs w:val="22"/>
        </w:rPr>
      </w:pPr>
      <w:r>
        <w:rPr>
          <w:szCs w:val="22"/>
        </w:rPr>
        <w:t>Class A</w:t>
      </w:r>
      <w:r w:rsidR="00FC1C05">
        <w:rPr>
          <w:szCs w:val="22"/>
        </w:rPr>
        <w:t xml:space="preserve"> </w:t>
      </w:r>
      <w:r w:rsidR="009361C9">
        <w:rPr>
          <w:szCs w:val="22"/>
        </w:rPr>
        <w:t>graduated cylinders, various sizes</w:t>
      </w:r>
    </w:p>
    <w:p w14:paraId="76CB23CD" w14:textId="77777777" w:rsidR="009361C9" w:rsidRDefault="009361C9" w:rsidP="00F609CE">
      <w:pPr>
        <w:pStyle w:val="11SOP"/>
        <w:rPr>
          <w:szCs w:val="22"/>
        </w:rPr>
      </w:pPr>
      <w:r>
        <w:rPr>
          <w:szCs w:val="22"/>
        </w:rPr>
        <w:t xml:space="preserve">Wide-tip </w:t>
      </w:r>
      <w:r w:rsidR="00AE6BC8">
        <w:rPr>
          <w:szCs w:val="22"/>
        </w:rPr>
        <w:t xml:space="preserve">volumetric or serological </w:t>
      </w:r>
      <w:r>
        <w:rPr>
          <w:szCs w:val="22"/>
        </w:rPr>
        <w:t>pipettes</w:t>
      </w:r>
      <w:r w:rsidR="00AE6BC8">
        <w:rPr>
          <w:szCs w:val="22"/>
        </w:rPr>
        <w:t>, var</w:t>
      </w:r>
      <w:r w:rsidR="006D0E91">
        <w:rPr>
          <w:szCs w:val="22"/>
        </w:rPr>
        <w:t>i</w:t>
      </w:r>
      <w:r w:rsidR="00AE6BC8">
        <w:rPr>
          <w:szCs w:val="22"/>
        </w:rPr>
        <w:t>ous volumes</w:t>
      </w:r>
    </w:p>
    <w:p w14:paraId="6A295779" w14:textId="77777777" w:rsidR="00F66479" w:rsidRDefault="00F66479" w:rsidP="00F609CE">
      <w:pPr>
        <w:pStyle w:val="11SOP"/>
        <w:rPr>
          <w:szCs w:val="22"/>
        </w:rPr>
      </w:pPr>
      <w:r>
        <w:rPr>
          <w:szCs w:val="22"/>
        </w:rPr>
        <w:t xml:space="preserve">Glass bottle for </w:t>
      </w:r>
      <w:r w:rsidR="00EB42E8">
        <w:rPr>
          <w:szCs w:val="22"/>
        </w:rPr>
        <w:t>preparing dilution water</w:t>
      </w:r>
    </w:p>
    <w:p w14:paraId="4F0D9B4B" w14:textId="37187587" w:rsidR="00F66479" w:rsidRDefault="00F66479" w:rsidP="00F609CE">
      <w:pPr>
        <w:pStyle w:val="11SOP"/>
        <w:rPr>
          <w:szCs w:val="22"/>
        </w:rPr>
      </w:pPr>
      <w:r>
        <w:t>Glass carboys or aspirator bottles of appropriate sizes for storage of aerated DI water covered with clean coff</w:t>
      </w:r>
      <w:r w:rsidR="00E96A74">
        <w:t>eemaker filters. If applicable,</w:t>
      </w:r>
      <w:r>
        <w:t xml:space="preserve"> </w:t>
      </w:r>
      <w:r w:rsidR="005C78FD">
        <w:t>a</w:t>
      </w:r>
      <w:r>
        <w:t>quarium pumps with C-Flex™ tubing attached to a glass pipette may be used for aeration.  Note:  attach one end of the C-Flex™ tubing to the air pump and the other to the glass serological pipette.  Place the serological pipette into the DI water for aeration.  Do not immerse the tubing in the DI water used for preparing BOD dilution water.</w:t>
      </w:r>
    </w:p>
    <w:p w14:paraId="580B5A05" w14:textId="77777777" w:rsidR="009361C9" w:rsidRDefault="006D0E91" w:rsidP="00F609CE">
      <w:pPr>
        <w:pStyle w:val="11SOP"/>
        <w:rPr>
          <w:szCs w:val="22"/>
        </w:rPr>
      </w:pPr>
      <w:r>
        <w:rPr>
          <w:szCs w:val="22"/>
        </w:rPr>
        <w:t>Beakers</w:t>
      </w:r>
    </w:p>
    <w:p w14:paraId="4689607C" w14:textId="77777777" w:rsidR="009361C9" w:rsidRDefault="009361C9" w:rsidP="00F609CE">
      <w:pPr>
        <w:pStyle w:val="11SOP"/>
        <w:rPr>
          <w:szCs w:val="22"/>
        </w:rPr>
      </w:pPr>
      <w:r>
        <w:rPr>
          <w:szCs w:val="22"/>
        </w:rPr>
        <w:t>Wash bottle filled with distilled water</w:t>
      </w:r>
    </w:p>
    <w:p w14:paraId="1F4759C1" w14:textId="77777777" w:rsidR="00F609CE" w:rsidRDefault="00353D6E" w:rsidP="00F609CE">
      <w:pPr>
        <w:pStyle w:val="11SOP"/>
        <w:rPr>
          <w:szCs w:val="22"/>
        </w:rPr>
      </w:pPr>
      <w:r>
        <w:rPr>
          <w:szCs w:val="22"/>
        </w:rPr>
        <w:t>Magnetic stirrer</w:t>
      </w:r>
    </w:p>
    <w:p w14:paraId="0F4AF963" w14:textId="77777777" w:rsidR="00923F3F" w:rsidRDefault="00923F3F" w:rsidP="00F609CE">
      <w:pPr>
        <w:pStyle w:val="11SOP"/>
        <w:rPr>
          <w:szCs w:val="22"/>
        </w:rPr>
      </w:pPr>
      <w:r>
        <w:rPr>
          <w:szCs w:val="22"/>
        </w:rPr>
        <w:t>Magnetic stir bars</w:t>
      </w:r>
    </w:p>
    <w:p w14:paraId="4A4E0E40" w14:textId="77777777" w:rsidR="00F66479" w:rsidRDefault="0037576F" w:rsidP="00F609CE">
      <w:pPr>
        <w:pStyle w:val="11SOP"/>
        <w:rPr>
          <w:szCs w:val="22"/>
        </w:rPr>
      </w:pPr>
      <w:r>
        <w:rPr>
          <w:szCs w:val="22"/>
        </w:rPr>
        <w:t>pH paper, narrow</w:t>
      </w:r>
      <w:r w:rsidR="00F66479">
        <w:rPr>
          <w:szCs w:val="22"/>
        </w:rPr>
        <w:t xml:space="preserve"> range (such as 5.5 – 8.0)</w:t>
      </w:r>
    </w:p>
    <w:p w14:paraId="2F858B70" w14:textId="77777777" w:rsidR="00F609CE" w:rsidRDefault="00F609CE" w:rsidP="00F609CE">
      <w:pPr>
        <w:pStyle w:val="10SOP"/>
      </w:pPr>
      <w:r>
        <w:rPr>
          <w:snapToGrid w:val="0"/>
        </w:rPr>
        <w:t>Reagents and Standards</w:t>
      </w:r>
    </w:p>
    <w:p w14:paraId="31430787" w14:textId="77777777" w:rsidR="006D0E91" w:rsidRDefault="006D0E91" w:rsidP="006D0E91">
      <w:pPr>
        <w:pStyle w:val="11SOP"/>
      </w:pPr>
      <w:r>
        <w:t>Distilled</w:t>
      </w:r>
      <w:r w:rsidR="00586C9E">
        <w:t xml:space="preserve"> w</w:t>
      </w:r>
      <w:r w:rsidR="00F609CE">
        <w:t>ater</w:t>
      </w:r>
      <w:r>
        <w:t>, purchased locally</w:t>
      </w:r>
    </w:p>
    <w:p w14:paraId="73849697" w14:textId="77777777" w:rsidR="00F609CE" w:rsidRDefault="00CE1473" w:rsidP="00F609CE">
      <w:pPr>
        <w:pStyle w:val="11SOP"/>
      </w:pPr>
      <w:r>
        <w:lastRenderedPageBreak/>
        <w:t>BOD nutrient buffer.</w:t>
      </w:r>
      <w:r w:rsidR="006D0E91">
        <w:t xml:space="preserve"> </w:t>
      </w:r>
      <w:r w:rsidR="00FC1C05">
        <w:t xml:space="preserve"> </w:t>
      </w:r>
      <w:r>
        <w:t>L</w:t>
      </w:r>
      <w:r w:rsidR="006D0E91">
        <w:t>iquid nutrients are purchased (</w:t>
      </w:r>
      <w:proofErr w:type="spellStart"/>
      <w:r w:rsidR="006D0E91">
        <w:t>FeCl</w:t>
      </w:r>
      <w:r w:rsidR="006D0E91" w:rsidRPr="00FC1C05">
        <w:rPr>
          <w:vertAlign w:val="subscript"/>
        </w:rPr>
        <w:t>3</w:t>
      </w:r>
      <w:proofErr w:type="spellEnd"/>
      <w:r w:rsidR="006D0E91">
        <w:t xml:space="preserve">-0.25 g/L; </w:t>
      </w:r>
      <w:proofErr w:type="spellStart"/>
      <w:r w:rsidR="006D0E91">
        <w:t>CaCl</w:t>
      </w:r>
      <w:r w:rsidR="006D0E91" w:rsidRPr="00FC1C05">
        <w:rPr>
          <w:vertAlign w:val="subscript"/>
        </w:rPr>
        <w:t>2</w:t>
      </w:r>
      <w:proofErr w:type="spellEnd"/>
      <w:r w:rsidR="006D0E91">
        <w:t xml:space="preserve">-27.5 g/L; </w:t>
      </w:r>
      <w:proofErr w:type="spellStart"/>
      <w:r w:rsidR="006D0E91">
        <w:t>MgSO</w:t>
      </w:r>
      <w:r w:rsidR="006D0E91" w:rsidRPr="00FC1C05">
        <w:rPr>
          <w:vertAlign w:val="subscript"/>
        </w:rPr>
        <w:t>4</w:t>
      </w:r>
      <w:proofErr w:type="spellEnd"/>
      <w:r w:rsidR="006D0E91">
        <w:t xml:space="preserve">-22.5 g/L; </w:t>
      </w:r>
      <w:proofErr w:type="spellStart"/>
      <w:r w:rsidR="006D0E91">
        <w:t>KH</w:t>
      </w:r>
      <w:r w:rsidR="006D0E91" w:rsidRPr="00FC1C05">
        <w:rPr>
          <w:vertAlign w:val="subscript"/>
        </w:rPr>
        <w:t>2</w:t>
      </w:r>
      <w:r w:rsidR="006D0E91">
        <w:t>PO</w:t>
      </w:r>
      <w:r w:rsidR="006D0E91" w:rsidRPr="00FC1C05">
        <w:rPr>
          <w:vertAlign w:val="subscript"/>
        </w:rPr>
        <w:t>4</w:t>
      </w:r>
      <w:proofErr w:type="spellEnd"/>
      <w:r w:rsidR="006D0E91">
        <w:t xml:space="preserve"> – </w:t>
      </w:r>
      <w:proofErr w:type="spellStart"/>
      <w:r w:rsidR="006D0E91">
        <w:t>PO</w:t>
      </w:r>
      <w:r w:rsidR="006D0E91" w:rsidRPr="00FC1C05">
        <w:rPr>
          <w:vertAlign w:val="subscript"/>
        </w:rPr>
        <w:t>4</w:t>
      </w:r>
      <w:proofErr w:type="spellEnd"/>
      <w:r w:rsidR="00FC1C05">
        <w:t xml:space="preserve"> </w:t>
      </w:r>
      <w:r w:rsidR="006D0E91">
        <w:t>phosphate buffer pH 7.2). These are adde</w:t>
      </w:r>
      <w:r w:rsidR="00770543">
        <w:t>d to the distilled</w:t>
      </w:r>
      <w:r w:rsidR="006D0E91">
        <w:t xml:space="preserve"> water at a rate of 1 mL per L </w:t>
      </w:r>
      <w:r w:rsidR="00770543">
        <w:t>to make the</w:t>
      </w:r>
      <w:r w:rsidR="006D0E91">
        <w:t xml:space="preserve"> dilution water. Alternatively, pre-made nutrient buffer </w:t>
      </w:r>
      <w:r w:rsidR="001B0846">
        <w:t>pillows from ABC</w:t>
      </w:r>
      <w:r w:rsidR="006D0E91">
        <w:t xml:space="preserve"> Chemical</w:t>
      </w:r>
      <w:r w:rsidR="001B0846">
        <w:t>s</w:t>
      </w:r>
      <w:r w:rsidR="006D0E91">
        <w:t xml:space="preserve"> may be used and prepared for 300 mL, 3</w:t>
      </w:r>
      <w:r w:rsidR="001B0846">
        <w:t xml:space="preserve"> </w:t>
      </w:r>
      <w:r w:rsidR="006D0E91">
        <w:t>L</w:t>
      </w:r>
      <w:r w:rsidR="00770543">
        <w:t>,</w:t>
      </w:r>
      <w:r w:rsidR="006D0E91">
        <w:t xml:space="preserve"> or 4 L of BOD dilution water.</w:t>
      </w:r>
      <w:r w:rsidR="00770543">
        <w:t xml:space="preserve">  Dilution water preparation is in the procedure section, “Reagents and Solution Preparation.”</w:t>
      </w:r>
    </w:p>
    <w:p w14:paraId="409202CF" w14:textId="77777777" w:rsidR="006D0E91" w:rsidRDefault="001B0846" w:rsidP="00F609CE">
      <w:pPr>
        <w:pStyle w:val="11SOP"/>
      </w:pPr>
      <w:r>
        <w:t>Glucose -</w:t>
      </w:r>
      <w:r w:rsidR="00770543">
        <w:t xml:space="preserve"> Glutamic A</w:t>
      </w:r>
      <w:r w:rsidR="00CE1473">
        <w:t>cid solution (</w:t>
      </w:r>
      <w:proofErr w:type="spellStart"/>
      <w:r w:rsidR="00CE1473">
        <w:t>GGA</w:t>
      </w:r>
      <w:proofErr w:type="spellEnd"/>
      <w:r w:rsidR="00CE1473">
        <w:t>), 198 ppm.</w:t>
      </w:r>
      <w:r w:rsidR="006D0E91">
        <w:t xml:space="preserve"> </w:t>
      </w:r>
      <w:r>
        <w:t xml:space="preserve"> </w:t>
      </w:r>
      <w:r w:rsidR="00CE1473">
        <w:t>P</w:t>
      </w:r>
      <w:r w:rsidR="006D0E91">
        <w:t xml:space="preserve">urchase prepared solution from </w:t>
      </w:r>
      <w:r>
        <w:t>ABC Chemicals</w:t>
      </w:r>
      <w:r w:rsidR="004329D9">
        <w:t>.  Keep</w:t>
      </w:r>
      <w:r>
        <w:t xml:space="preserve"> refrigerated at </w:t>
      </w:r>
      <w:r>
        <w:rPr>
          <w:rFonts w:cs="Arial"/>
        </w:rPr>
        <w:t>≤</w:t>
      </w:r>
      <w:proofErr w:type="spellStart"/>
      <w:r>
        <w:t>6°C</w:t>
      </w:r>
      <w:proofErr w:type="spellEnd"/>
      <w:r w:rsidR="006D0E91">
        <w:t>. It expires according to manufacture</w:t>
      </w:r>
      <w:r w:rsidR="00770543">
        <w:t>r’s expiration</w:t>
      </w:r>
      <w:r w:rsidR="006D0E91">
        <w:t xml:space="preserve"> date or sooner if low recoveries are observed.  </w:t>
      </w:r>
      <w:proofErr w:type="spellStart"/>
      <w:r w:rsidR="006D0E91">
        <w:t>GGA</w:t>
      </w:r>
      <w:proofErr w:type="spellEnd"/>
      <w:r w:rsidR="006D0E91">
        <w:t xml:space="preserve"> preparation is in the procedure section</w:t>
      </w:r>
      <w:r w:rsidR="00770543">
        <w:t>, “Reagents and Solutions Preparation</w:t>
      </w:r>
      <w:r w:rsidR="006D0E91">
        <w:t>.</w:t>
      </w:r>
      <w:r w:rsidR="00770543">
        <w:t>”</w:t>
      </w:r>
    </w:p>
    <w:p w14:paraId="3C82A507" w14:textId="77777777" w:rsidR="006D0E91" w:rsidRDefault="006D0E91" w:rsidP="00F609CE">
      <w:pPr>
        <w:pStyle w:val="11SOP"/>
      </w:pPr>
      <w:r>
        <w:t>BOD seed</w:t>
      </w:r>
      <w:r w:rsidR="00CE1473">
        <w:t>.</w:t>
      </w:r>
      <w:r>
        <w:t xml:space="preserve"> </w:t>
      </w:r>
      <w:r w:rsidR="00E61311">
        <w:t xml:space="preserve"> </w:t>
      </w:r>
      <w:r w:rsidR="001B0846">
        <w:t>ABC Chemicals</w:t>
      </w:r>
      <w:r>
        <w:t xml:space="preserve"> </w:t>
      </w:r>
      <w:r w:rsidR="00374B04">
        <w:t xml:space="preserve">synthetic </w:t>
      </w:r>
      <w:r w:rsidR="00E61311">
        <w:t xml:space="preserve">seed (not </w:t>
      </w:r>
      <w:proofErr w:type="spellStart"/>
      <w:r w:rsidR="00E61311">
        <w:t>Polyseed</w:t>
      </w:r>
      <w:proofErr w:type="spellEnd"/>
      <w:r w:rsidR="00E61311">
        <w:t xml:space="preserve"> </w:t>
      </w:r>
      <w:proofErr w:type="spellStart"/>
      <w:r w:rsidR="00E61311">
        <w:t>Nx</w:t>
      </w:r>
      <w:proofErr w:type="spellEnd"/>
      <w:r w:rsidR="00E61311">
        <w:t>). It e</w:t>
      </w:r>
      <w:r>
        <w:t>xpires according to manufacture</w:t>
      </w:r>
      <w:r w:rsidR="00770543">
        <w:t>r’s</w:t>
      </w:r>
      <w:r>
        <w:t xml:space="preserve"> expiration date. </w:t>
      </w:r>
      <w:r w:rsidR="00E61311">
        <w:t>Seed</w:t>
      </w:r>
      <w:r w:rsidRPr="00C218CB">
        <w:t xml:space="preserve"> is prepared on days of use.  </w:t>
      </w:r>
      <w:r w:rsidR="004329D9">
        <w:t xml:space="preserve">Alternatively, mixed liquor may be used.  Seed </w:t>
      </w:r>
      <w:r w:rsidR="00770543">
        <w:t>preparation is</w:t>
      </w:r>
      <w:r w:rsidRPr="00C218CB">
        <w:t xml:space="preserve"> in</w:t>
      </w:r>
      <w:r w:rsidR="00770543">
        <w:t xml:space="preserve"> the p</w:t>
      </w:r>
      <w:r w:rsidR="00B067C2">
        <w:t>rocedure section,</w:t>
      </w:r>
      <w:r w:rsidR="004329D9">
        <w:t xml:space="preserve"> </w:t>
      </w:r>
      <w:r w:rsidR="00B067C2">
        <w:t>“Reagents and Solutions Preparation.”</w:t>
      </w:r>
    </w:p>
    <w:p w14:paraId="7B01D19C" w14:textId="77777777" w:rsidR="006D0E91" w:rsidRDefault="004329D9" w:rsidP="00F609CE">
      <w:pPr>
        <w:pStyle w:val="11SOP"/>
      </w:pPr>
      <w:r>
        <w:t>1.5</w:t>
      </w:r>
      <w:r w:rsidR="00CE1473">
        <w:t xml:space="preserve"> N Sulfuric Acid, ABC Chemicals.  U</w:t>
      </w:r>
      <w:r>
        <w:t>sed for</w:t>
      </w:r>
      <w:r w:rsidR="006D0E91">
        <w:t xml:space="preserve"> adjustment of samples with pH over 8.5. This is rare</w:t>
      </w:r>
      <w:r>
        <w:t xml:space="preserve"> –</w:t>
      </w:r>
      <w:r w:rsidR="006D0E91">
        <w:t xml:space="preserve"> use only if needed.</w:t>
      </w:r>
    </w:p>
    <w:p w14:paraId="0FD3463C" w14:textId="77777777" w:rsidR="006D0E91" w:rsidRDefault="004329D9" w:rsidP="00F609CE">
      <w:pPr>
        <w:pStyle w:val="11SOP"/>
      </w:pPr>
      <w:r>
        <w:t xml:space="preserve">1.5 N </w:t>
      </w:r>
      <w:r w:rsidR="00CE1473">
        <w:t>Sodium Hydroxide, ABC Chemicals.  U</w:t>
      </w:r>
      <w:r>
        <w:t>sed</w:t>
      </w:r>
      <w:r w:rsidR="006D0E91">
        <w:t xml:space="preserve"> for adjustment of samples below 6.0 </w:t>
      </w:r>
      <w:proofErr w:type="spellStart"/>
      <w:r w:rsidR="006D0E91">
        <w:t>pH.</w:t>
      </w:r>
      <w:proofErr w:type="spellEnd"/>
      <w:r w:rsidR="006D0E91">
        <w:t xml:space="preserve"> This is rare </w:t>
      </w:r>
      <w:r>
        <w:t>–</w:t>
      </w:r>
      <w:r w:rsidR="006D0E91">
        <w:t xml:space="preserve"> use only if needed.</w:t>
      </w:r>
    </w:p>
    <w:p w14:paraId="373A2950" w14:textId="77777777" w:rsidR="006D0E91" w:rsidRDefault="006D0E91" w:rsidP="00F609CE">
      <w:pPr>
        <w:pStyle w:val="11SOP"/>
      </w:pPr>
      <w:r>
        <w:t xml:space="preserve">Proficiency Testing samples from </w:t>
      </w:r>
      <w:r w:rsidR="004329D9">
        <w:t>an</w:t>
      </w:r>
      <w:r>
        <w:t xml:space="preserve"> approved provider.</w:t>
      </w:r>
    </w:p>
    <w:p w14:paraId="4D4FC0C5" w14:textId="77777777" w:rsidR="00713454" w:rsidRDefault="00713454" w:rsidP="00713454">
      <w:pPr>
        <w:pStyle w:val="10SOP"/>
      </w:pPr>
      <w:r>
        <w:t>Interferences</w:t>
      </w:r>
    </w:p>
    <w:p w14:paraId="07A33630" w14:textId="77777777" w:rsidR="00713454" w:rsidRDefault="00713454" w:rsidP="00713454">
      <w:pPr>
        <w:pStyle w:val="11SOP"/>
      </w:pPr>
      <w:r>
        <w:t xml:space="preserve">Any constituent that is toxic to the population of microorganisms in the water sample may be considered an interference. Samples containing </w:t>
      </w:r>
      <w:r w:rsidRPr="00AE6BC8">
        <w:t>caustic alkalinity, acidity, or residual chlorine</w:t>
      </w:r>
      <w:r>
        <w:t xml:space="preserve"> must be pretreated before proceeding with the BOD analysis.  If this is suspected, sliding </w:t>
      </w:r>
      <w:proofErr w:type="spellStart"/>
      <w:r>
        <w:t>BODs</w:t>
      </w:r>
      <w:proofErr w:type="spellEnd"/>
      <w:r>
        <w:t xml:space="preserve"> may be observed. </w:t>
      </w:r>
      <w:r w:rsidRPr="00AE6BC8">
        <w:t>Chlorinated samples at t</w:t>
      </w:r>
      <w:r>
        <w:t>his facility are not applicable;</w:t>
      </w:r>
      <w:r w:rsidRPr="00AE6BC8">
        <w:t xml:space="preserve"> either chlorination is not done or the samples are collected prior to chlorination. </w:t>
      </w:r>
      <w:r w:rsidRPr="00AF4141">
        <w:t>I</w:t>
      </w:r>
      <w:r>
        <w:t>f</w:t>
      </w:r>
      <w:r w:rsidR="00770543">
        <w:t xml:space="preserve"> samples are chlorinated, see the procedure section,</w:t>
      </w:r>
      <w:r>
        <w:t xml:space="preserve"> “Sample Pretreatment.”</w:t>
      </w:r>
      <w:r w:rsidR="004B32D9">
        <w:t xml:space="preserve">  </w:t>
      </w:r>
    </w:p>
    <w:p w14:paraId="1B628324" w14:textId="77777777" w:rsidR="00713454" w:rsidRDefault="00713454" w:rsidP="00713454">
      <w:pPr>
        <w:pStyle w:val="11SOP"/>
      </w:pPr>
      <w:r>
        <w:t xml:space="preserve">A </w:t>
      </w:r>
      <w:r w:rsidRPr="0079060C">
        <w:rPr>
          <w:u w:val="single"/>
        </w:rPr>
        <w:t>positive bias</w:t>
      </w:r>
      <w:r>
        <w:t xml:space="preserve"> may be introduced due to poor quality dilution water, which may contain material contributing to the dissolved oxygen (DO) depletion. A </w:t>
      </w:r>
      <w:r>
        <w:rPr>
          <w:u w:val="single"/>
        </w:rPr>
        <w:t xml:space="preserve">negative </w:t>
      </w:r>
      <w:r w:rsidRPr="007C13FA">
        <w:rPr>
          <w:u w:val="single"/>
        </w:rPr>
        <w:t>bias</w:t>
      </w:r>
      <w:r>
        <w:t xml:space="preserve"> may be introduced due to poor </w:t>
      </w:r>
      <w:r w:rsidRPr="00F66479">
        <w:t>quality distilled</w:t>
      </w:r>
      <w:r w:rsidR="002A208C">
        <w:t xml:space="preserve"> water</w:t>
      </w:r>
      <w:r>
        <w:t xml:space="preserve"> containing inhibitory agents.  Un-chlorinated or only partially dechlorinated samples, certain industrial wastes, and soap residues may also cause a negative bias in the results.</w:t>
      </w:r>
    </w:p>
    <w:p w14:paraId="2D4DBC4B" w14:textId="77777777" w:rsidR="00713454" w:rsidRDefault="00713454" w:rsidP="00713454">
      <w:pPr>
        <w:pStyle w:val="11SOP"/>
      </w:pPr>
      <w:r>
        <w:t xml:space="preserve">Differences in the atmospheric pressure and temperature on the days of the initial and final DO readings may cause DO probe calibration error </w:t>
      </w:r>
      <w:r w:rsidRPr="00F24C98">
        <w:t xml:space="preserve">due to the differences </w:t>
      </w:r>
      <w:r>
        <w:t xml:space="preserve">in the partial pressure of oxygen at saturation.  This problem is generally minimized if </w:t>
      </w:r>
      <w:proofErr w:type="spellStart"/>
      <w:r>
        <w:t>the</w:t>
      </w:r>
      <w:proofErr w:type="spellEnd"/>
      <w:r>
        <w:t xml:space="preserve"> DO meter’s on-board barometer is in good working order and a weather front is not rapidly moving through the area at the time the instrument is calibrated.</w:t>
      </w:r>
    </w:p>
    <w:p w14:paraId="1A3D5646" w14:textId="744B1B13" w:rsidR="00713454" w:rsidRDefault="00713454" w:rsidP="00713454">
      <w:pPr>
        <w:pStyle w:val="11SOP"/>
      </w:pPr>
      <w:r>
        <w:t xml:space="preserve">Water has a finite ability to contain dissolved oxygen (DO).  The amount of DO is dependent on temperature and barometric pressure and is considered the oxygen saturation level.  Anything beyond this amount is considered super-saturation.  Refer to the oxygen saturation chart at the end of the SOP (and in the spreadsheet used for the BOD bench sheet) to find the saturation level based on temperature and pressure.  When BOD sample dilutions with initial DO </w:t>
      </w:r>
      <w:r>
        <w:lastRenderedPageBreak/>
        <w:t xml:space="preserve">readings which are super-saturated are incubated at </w:t>
      </w:r>
      <w:proofErr w:type="spellStart"/>
      <w:r>
        <w:t>20°C</w:t>
      </w:r>
      <w:proofErr w:type="spellEnd"/>
      <w:r>
        <w:t>, the DO will physically d</w:t>
      </w:r>
      <w:r w:rsidR="00471469">
        <w:t>i</w:t>
      </w:r>
      <w:r>
        <w:t>f</w:t>
      </w:r>
      <w:r w:rsidR="00471469">
        <w:t>f</w:t>
      </w:r>
      <w:r>
        <w:t xml:space="preserve">use out of solution and will appear as BOD.  Samples must be warmed to </w:t>
      </w:r>
      <w:proofErr w:type="spellStart"/>
      <w:r>
        <w:t>20°C</w:t>
      </w:r>
      <w:proofErr w:type="spellEnd"/>
      <w:r>
        <w:t xml:space="preserve"> </w:t>
      </w:r>
      <w:r>
        <w:rPr>
          <w:rFonts w:cs="Arial"/>
        </w:rPr>
        <w:t xml:space="preserve">± </w:t>
      </w:r>
      <w:proofErr w:type="spellStart"/>
      <w:r>
        <w:t>3°C</w:t>
      </w:r>
      <w:proofErr w:type="spellEnd"/>
      <w:r>
        <w:t xml:space="preserve"> and rigorously shaken or stirred (and allowed to vent) to drive off excess DO prior to preparing samples for BOD analysis.</w:t>
      </w:r>
    </w:p>
    <w:p w14:paraId="3E238AC7" w14:textId="77777777" w:rsidR="00F609CE" w:rsidRDefault="00F609CE" w:rsidP="00F609CE">
      <w:pPr>
        <w:pStyle w:val="10SOP"/>
      </w:pPr>
      <w:r>
        <w:t>Sample Collection, Preservation, and Storage</w:t>
      </w:r>
    </w:p>
    <w:p w14:paraId="748FDBD7" w14:textId="005AA33D" w:rsidR="006D0E91" w:rsidRDefault="0002243B" w:rsidP="00F609CE">
      <w:pPr>
        <w:pStyle w:val="11SOP"/>
      </w:pPr>
      <w:r>
        <w:t>Container cleaning process</w:t>
      </w:r>
      <w:r w:rsidR="006D0E91">
        <w:t xml:space="preserve">: </w:t>
      </w:r>
      <w:r>
        <w:t xml:space="preserve"> s</w:t>
      </w:r>
      <w:r w:rsidR="002A208C">
        <w:t xml:space="preserve">ample carboys, </w:t>
      </w:r>
      <w:r w:rsidR="006D0E91">
        <w:t>BOD cal</w:t>
      </w:r>
      <w:r>
        <w:t>ibration bottles, and the dilution w</w:t>
      </w:r>
      <w:r w:rsidR="006D0E91">
        <w:t xml:space="preserve">ater bottle are washed </w:t>
      </w:r>
      <w:r w:rsidR="006D0E91" w:rsidRPr="00E61311">
        <w:t>daily with hot tap water and non-phosphate de</w:t>
      </w:r>
      <w:r w:rsidR="002A208C">
        <w:t>tergent. T</w:t>
      </w:r>
      <w:r w:rsidR="006D0E91" w:rsidRPr="00E61311">
        <w:t>he</w:t>
      </w:r>
      <w:r w:rsidR="006D0E91" w:rsidRPr="00AF4141">
        <w:t xml:space="preserve"> containers are rinse</w:t>
      </w:r>
      <w:r w:rsidR="006D0E91">
        <w:t>d</w:t>
      </w:r>
      <w:r w:rsidR="006D0E91" w:rsidRPr="00AF4141">
        <w:t xml:space="preserve"> </w:t>
      </w:r>
      <w:r w:rsidR="002A208C">
        <w:t xml:space="preserve">weekly </w:t>
      </w:r>
      <w:r w:rsidR="006D0E91" w:rsidRPr="00AF4141">
        <w:t xml:space="preserve">with 10% </w:t>
      </w:r>
      <w:r w:rsidR="006D0E91">
        <w:t xml:space="preserve">household bleach (not bleach that has additives). Follow the cleaning by hot tap water, rinse until all suds disappear, then rinse well with DI water. </w:t>
      </w:r>
      <w:r w:rsidR="006D0E91" w:rsidRPr="00BC0595">
        <w:rPr>
          <w:i/>
          <w:u w:val="single"/>
        </w:rPr>
        <w:t>For the containers</w:t>
      </w:r>
      <w:r>
        <w:rPr>
          <w:i/>
          <w:u w:val="single"/>
        </w:rPr>
        <w:t xml:space="preserve"> that are also used to collect p</w:t>
      </w:r>
      <w:r w:rsidR="006D0E91" w:rsidRPr="00BC0595">
        <w:rPr>
          <w:i/>
          <w:u w:val="single"/>
        </w:rPr>
        <w:t>hosphorus samples</w:t>
      </w:r>
      <w:r>
        <w:rPr>
          <w:i/>
          <w:u w:val="single"/>
        </w:rPr>
        <w:t>,</w:t>
      </w:r>
      <w:r w:rsidR="006D0E91" w:rsidRPr="00BC0595">
        <w:rPr>
          <w:i/>
          <w:u w:val="single"/>
        </w:rPr>
        <w:t xml:space="preserve"> a 1% solution of laboratory grade HCl is used just prior to the rinse with DI water.</w:t>
      </w:r>
    </w:p>
    <w:p w14:paraId="4DF1C85B" w14:textId="77777777" w:rsidR="00F609CE" w:rsidRDefault="0002243B" w:rsidP="00F609CE">
      <w:pPr>
        <w:pStyle w:val="11SOP"/>
      </w:pPr>
      <w:r>
        <w:t>Plastic bottles and</w:t>
      </w:r>
      <w:r w:rsidR="006D0E91">
        <w:t xml:space="preserve"> carboys may be used for sample collection. Sample material should not adhere to the container walls.</w:t>
      </w:r>
    </w:p>
    <w:p w14:paraId="4FA031A3" w14:textId="77777777" w:rsidR="00F609CE" w:rsidRDefault="006D0E91" w:rsidP="00F609CE">
      <w:pPr>
        <w:pStyle w:val="11SOP"/>
      </w:pPr>
      <w:r>
        <w:t xml:space="preserve">Samples for BOD analysis may degrade significantly during storage between collection and analysis, resulting in low BOD results. Analysis should be done </w:t>
      </w:r>
      <w:r w:rsidR="00405A07">
        <w:t>within 2 hours from collection</w:t>
      </w:r>
      <w:r w:rsidR="0002243B">
        <w:t>,</w:t>
      </w:r>
      <w:r>
        <w:t xml:space="preserve"> or the samples </w:t>
      </w:r>
      <w:r w:rsidR="0002243B">
        <w:t xml:space="preserve">must be </w:t>
      </w:r>
      <w:r w:rsidR="00A704CD">
        <w:t>placed in the refrigerator</w:t>
      </w:r>
      <w:r>
        <w:t xml:space="preserve"> at </w:t>
      </w:r>
      <w:r w:rsidR="0002243B">
        <w:rPr>
          <w:rFonts w:cs="Arial"/>
        </w:rPr>
        <w:t>≤</w:t>
      </w:r>
      <w:proofErr w:type="spellStart"/>
      <w:r>
        <w:t>6°C</w:t>
      </w:r>
      <w:proofErr w:type="spellEnd"/>
      <w:r>
        <w:t xml:space="preserve">. Warm chilled samples to </w:t>
      </w:r>
      <w:proofErr w:type="spellStart"/>
      <w:r>
        <w:t>20°C</w:t>
      </w:r>
      <w:proofErr w:type="spellEnd"/>
      <w:r w:rsidR="0002243B">
        <w:t xml:space="preserve"> </w:t>
      </w:r>
      <w:r w:rsidR="0002243B">
        <w:rPr>
          <w:rFonts w:cs="Arial"/>
        </w:rPr>
        <w:t>±</w:t>
      </w:r>
      <w:r>
        <w:t xml:space="preserve"> </w:t>
      </w:r>
      <w:proofErr w:type="spellStart"/>
      <w:r>
        <w:t>3°C</w:t>
      </w:r>
      <w:proofErr w:type="spellEnd"/>
      <w:r>
        <w:t xml:space="preserve"> before analysis (and prior to dilution).</w:t>
      </w:r>
    </w:p>
    <w:p w14:paraId="4F9D073E" w14:textId="77777777" w:rsidR="00405A07" w:rsidRDefault="00405A07" w:rsidP="00F609CE">
      <w:pPr>
        <w:pStyle w:val="11SOP"/>
      </w:pPr>
      <w:r>
        <w:t>Hold times may not exceed 48 hours from the time of collection.</w:t>
      </w:r>
    </w:p>
    <w:p w14:paraId="562BA4DF" w14:textId="77777777" w:rsidR="00F609CE" w:rsidRDefault="00F609CE" w:rsidP="00F609CE">
      <w:pPr>
        <w:pStyle w:val="10SOP"/>
      </w:pPr>
      <w:r>
        <w:t>Quality Control</w:t>
      </w:r>
    </w:p>
    <w:p w14:paraId="6360E690" w14:textId="77777777" w:rsidR="00712AA7" w:rsidRDefault="00712AA7" w:rsidP="00F609CE">
      <w:pPr>
        <w:pStyle w:val="11SOP"/>
        <w:keepNext/>
      </w:pPr>
      <w:r>
        <w:t>Initial Quality Control</w:t>
      </w:r>
    </w:p>
    <w:p w14:paraId="1779FD34" w14:textId="77777777" w:rsidR="00F609CE" w:rsidRDefault="00F609CE" w:rsidP="005B48BE">
      <w:pPr>
        <w:pStyle w:val="111SOP"/>
        <w:ind w:hanging="990"/>
      </w:pPr>
      <w:r>
        <w:t>Method Detection Limit (MDL):  The Laboratory is not required to compl</w:t>
      </w:r>
      <w:r w:rsidR="0002243B">
        <w:t>ete a MDL study for BOD</w:t>
      </w:r>
      <w:r>
        <w:t>.  The reporting limit used, as spe</w:t>
      </w:r>
      <w:r w:rsidR="00353D6E">
        <w:t>cifi</w:t>
      </w:r>
      <w:r w:rsidR="0002243B">
        <w:t>ed by the method, is 2 mg/L if 3</w:t>
      </w:r>
      <w:r w:rsidR="00353D6E">
        <w:t>00 mL of sample volume is used.</w:t>
      </w:r>
    </w:p>
    <w:p w14:paraId="3DF37408" w14:textId="77777777" w:rsidR="00F609CE" w:rsidRDefault="00F609CE" w:rsidP="005B48BE">
      <w:pPr>
        <w:pStyle w:val="111SOP"/>
        <w:ind w:hanging="990"/>
      </w:pPr>
      <w:r>
        <w:t xml:space="preserve">All analysts shall perform an IDC </w:t>
      </w:r>
      <w:r w:rsidRPr="00405A07">
        <w:rPr>
          <w:u w:val="single"/>
        </w:rPr>
        <w:t xml:space="preserve">once </w:t>
      </w:r>
      <w:r w:rsidR="00353D6E" w:rsidRPr="00405A07">
        <w:rPr>
          <w:u w:val="single"/>
        </w:rPr>
        <w:t>for each lab technician</w:t>
      </w:r>
      <w:r>
        <w:t>.</w:t>
      </w:r>
      <w:r w:rsidR="00353D6E">
        <w:t xml:space="preserve">  An IDC is requ</w:t>
      </w:r>
      <w:r w:rsidR="00405A07">
        <w:t>ired of all new lab technicians including technicians performing only part of the testing (for example, technicians who only perform the read out).</w:t>
      </w:r>
      <w:r w:rsidR="00353D6E">
        <w:t xml:space="preserve">  </w:t>
      </w:r>
    </w:p>
    <w:p w14:paraId="3FB71CF7" w14:textId="77777777" w:rsidR="00712AA7" w:rsidRDefault="00712AA7" w:rsidP="00F609CE">
      <w:pPr>
        <w:pStyle w:val="11SOP"/>
      </w:pPr>
      <w:r>
        <w:t>On-going Quality Control</w:t>
      </w:r>
    </w:p>
    <w:p w14:paraId="6EDF0333" w14:textId="77777777" w:rsidR="00F609CE" w:rsidRDefault="006D0E91" w:rsidP="005B48BE">
      <w:pPr>
        <w:pStyle w:val="111SOP"/>
        <w:ind w:hanging="990"/>
      </w:pPr>
      <w:r>
        <w:t xml:space="preserve">Analyze a </w:t>
      </w:r>
      <w:r w:rsidRPr="0002243B">
        <w:t xml:space="preserve">dilution water blank sample with </w:t>
      </w:r>
      <w:r w:rsidRPr="000411E9">
        <w:rPr>
          <w:u w:val="single"/>
        </w:rPr>
        <w:t xml:space="preserve">each </w:t>
      </w:r>
      <w:r w:rsidR="00405A07">
        <w:rPr>
          <w:u w:val="single"/>
        </w:rPr>
        <w:t>batch</w:t>
      </w:r>
      <w:r w:rsidR="00405A07" w:rsidRPr="00405A07">
        <w:t xml:space="preserve"> of 20 samples</w:t>
      </w:r>
      <w:r>
        <w:t>.</w:t>
      </w:r>
    </w:p>
    <w:p w14:paraId="7C8AA2B3" w14:textId="77777777" w:rsidR="006D0E91" w:rsidRDefault="007F2F4F" w:rsidP="005B48BE">
      <w:pPr>
        <w:pStyle w:val="111SOP"/>
        <w:ind w:hanging="990"/>
      </w:pPr>
      <w:r>
        <w:t xml:space="preserve">At least two seed control samples must be set up with </w:t>
      </w:r>
      <w:r w:rsidRPr="000411E9">
        <w:rPr>
          <w:u w:val="single"/>
        </w:rPr>
        <w:t>each batch that have samples</w:t>
      </w:r>
      <w:r w:rsidR="00405A07">
        <w:rPr>
          <w:u w:val="single"/>
        </w:rPr>
        <w:t xml:space="preserve"> seeded</w:t>
      </w:r>
      <w:r w:rsidRPr="000411E9">
        <w:rPr>
          <w:u w:val="single"/>
        </w:rPr>
        <w:t xml:space="preserve"> or QC seeded</w:t>
      </w:r>
      <w:r>
        <w:t xml:space="preserve">.  </w:t>
      </w:r>
      <w:r w:rsidR="006D0E91">
        <w:t>Seed strength should generally be between 0.6 - 1.0 mg/L for the seed added to each BOD bottle.  However, this is not a requirement.  T</w:t>
      </w:r>
      <w:r w:rsidR="00755AC7">
        <w:t>he critical requirement is that</w:t>
      </w:r>
      <w:r w:rsidR="006D0E91">
        <w:t xml:space="preserve"> regardless of its strength, a sufficient quantity of seed is added so that the </w:t>
      </w:r>
      <w:proofErr w:type="spellStart"/>
      <w:r w:rsidR="006D0E91">
        <w:t>GGA</w:t>
      </w:r>
      <w:proofErr w:type="spellEnd"/>
      <w:r w:rsidR="006D0E91">
        <w:t xml:space="preserve"> meets acceptance criteria.</w:t>
      </w:r>
    </w:p>
    <w:p w14:paraId="6D90B1DF" w14:textId="7E6855EB" w:rsidR="006D0E91" w:rsidRDefault="00755AC7" w:rsidP="005B48BE">
      <w:pPr>
        <w:pStyle w:val="111SOP"/>
        <w:ind w:hanging="990"/>
      </w:pPr>
      <w:r>
        <w:t>All</w:t>
      </w:r>
      <w:r w:rsidR="00A226A5">
        <w:t xml:space="preserve"> pH </w:t>
      </w:r>
      <w:r w:rsidR="006D0E91">
        <w:t>adjusted</w:t>
      </w:r>
      <w:r>
        <w:t xml:space="preserve"> samples</w:t>
      </w:r>
      <w:r w:rsidR="006D0E91">
        <w:t>, disinfected (UV or chlorinated/de-chlorinated)</w:t>
      </w:r>
      <w:r>
        <w:t xml:space="preserve"> samples</w:t>
      </w:r>
      <w:r w:rsidR="006D0E91">
        <w:t>, industrial samples</w:t>
      </w:r>
      <w:r>
        <w:t xml:space="preserve">, and </w:t>
      </w:r>
      <w:proofErr w:type="spellStart"/>
      <w:r>
        <w:t>GGA</w:t>
      </w:r>
      <w:proofErr w:type="spellEnd"/>
      <w:r w:rsidR="00801635">
        <w:t xml:space="preserve"> must be seeded.  Proficiency</w:t>
      </w:r>
      <w:r w:rsidR="006D0E91">
        <w:t xml:space="preserve"> </w:t>
      </w:r>
      <w:r w:rsidR="00471469">
        <w:t>t</w:t>
      </w:r>
      <w:r w:rsidR="00801635">
        <w:t>esting s</w:t>
      </w:r>
      <w:r w:rsidR="006D0E91">
        <w:t>tandards, samples which contain nitrification inhibitors, and samples collected post-disinfection also must be seeded.</w:t>
      </w:r>
    </w:p>
    <w:p w14:paraId="6304BA29" w14:textId="77777777" w:rsidR="00B44E36" w:rsidRDefault="00B44E36" w:rsidP="005B48BE">
      <w:pPr>
        <w:pStyle w:val="111SOP"/>
        <w:ind w:hanging="990"/>
      </w:pPr>
      <w:bookmarkStart w:id="0" w:name="_Hlk513463160"/>
      <w:r>
        <w:lastRenderedPageBreak/>
        <w:t xml:space="preserve">A Glucose-Glutamic </w:t>
      </w:r>
      <w:r w:rsidRPr="0002243B">
        <w:t>Acid (</w:t>
      </w:r>
      <w:proofErr w:type="spellStart"/>
      <w:r w:rsidRPr="0002243B">
        <w:t>GGA</w:t>
      </w:r>
      <w:proofErr w:type="spellEnd"/>
      <w:r w:rsidRPr="0002243B">
        <w:t xml:space="preserve">) sample must be analyzed </w:t>
      </w:r>
      <w:r w:rsidRPr="000411E9">
        <w:rPr>
          <w:u w:val="single"/>
        </w:rPr>
        <w:t>every week</w:t>
      </w:r>
      <w:r w:rsidRPr="00A226A5">
        <w:t xml:space="preserve"> (</w:t>
      </w:r>
      <w:r>
        <w:t xml:space="preserve">if less than 20 samples are analyzed in a week).  </w:t>
      </w:r>
    </w:p>
    <w:p w14:paraId="4766A45D" w14:textId="77777777" w:rsidR="006D0E91" w:rsidRDefault="001671DA" w:rsidP="005B48BE">
      <w:pPr>
        <w:pStyle w:val="111SOP"/>
        <w:ind w:hanging="990"/>
      </w:pPr>
      <w:r w:rsidRPr="000411E9">
        <w:rPr>
          <w:u w:val="single"/>
        </w:rPr>
        <w:t>Annually</w:t>
      </w:r>
      <w:r w:rsidR="00801635">
        <w:t xml:space="preserve"> a Proficiency</w:t>
      </w:r>
      <w:r>
        <w:t xml:space="preserve"> Test</w:t>
      </w:r>
      <w:r w:rsidR="00801635">
        <w:t>ing</w:t>
      </w:r>
      <w:r>
        <w:t xml:space="preserve"> (PT) sample must be obtained </w:t>
      </w:r>
      <w:r w:rsidR="007A5407">
        <w:t xml:space="preserve">and analyzed </w:t>
      </w:r>
      <w:r>
        <w:t>from one of the Wisconsin DNR approved providers.</w:t>
      </w:r>
      <w:bookmarkEnd w:id="0"/>
    </w:p>
    <w:p w14:paraId="47BC6C16" w14:textId="77777777" w:rsidR="00F609CE" w:rsidRDefault="00F609CE" w:rsidP="00F609CE">
      <w:pPr>
        <w:pStyle w:val="10SOP"/>
      </w:pPr>
      <w:r>
        <w:t>Calibration and Standardization</w:t>
      </w:r>
    </w:p>
    <w:p w14:paraId="228B5BD7" w14:textId="77777777" w:rsidR="009B03DC" w:rsidRDefault="009B03DC" w:rsidP="00633B14">
      <w:pPr>
        <w:pStyle w:val="11SOP"/>
      </w:pPr>
      <w:r w:rsidRPr="00633B14">
        <w:t>The ABC Company Model 123 meter and probe</w:t>
      </w:r>
      <w:r>
        <w:t xml:space="preserve"> is used. Refer to the User Manual for additional information.</w:t>
      </w:r>
      <w:r w:rsidRPr="00BE78D4">
        <w:t xml:space="preserve"> </w:t>
      </w:r>
      <w:r>
        <w:t xml:space="preserve">   </w:t>
      </w:r>
    </w:p>
    <w:p w14:paraId="574F0465" w14:textId="77777777" w:rsidR="001671DA" w:rsidRDefault="001671DA" w:rsidP="00633B14">
      <w:pPr>
        <w:pStyle w:val="11SOP"/>
      </w:pPr>
      <w:r>
        <w:t xml:space="preserve">Calibration of </w:t>
      </w:r>
      <w:r w:rsidR="00633B14">
        <w:t xml:space="preserve">the </w:t>
      </w:r>
      <w:r w:rsidR="009B03DC">
        <w:t>DO meter (Water-Saturated-</w:t>
      </w:r>
      <w:r w:rsidRPr="00633B14">
        <w:t>Air</w:t>
      </w:r>
      <w:r w:rsidR="00633B14">
        <w:t xml:space="preserve"> method) must be performed </w:t>
      </w:r>
      <w:r w:rsidR="00446131">
        <w:t xml:space="preserve">each day </w:t>
      </w:r>
      <w:proofErr w:type="spellStart"/>
      <w:r w:rsidR="00446131">
        <w:t>BODs</w:t>
      </w:r>
      <w:proofErr w:type="spellEnd"/>
      <w:r w:rsidR="00446131">
        <w:t xml:space="preserve"> are set up or read</w:t>
      </w:r>
      <w:r>
        <w:t xml:space="preserve"> out.</w:t>
      </w:r>
    </w:p>
    <w:p w14:paraId="0D6886DD" w14:textId="77777777" w:rsidR="000411E9" w:rsidRDefault="000411E9" w:rsidP="00633B14">
      <w:pPr>
        <w:pStyle w:val="11SOP"/>
      </w:pPr>
      <w:r>
        <w:t xml:space="preserve">Room temperature must be </w:t>
      </w:r>
      <w:proofErr w:type="spellStart"/>
      <w:r>
        <w:t>20°C</w:t>
      </w:r>
      <w:proofErr w:type="spellEnd"/>
      <w:r>
        <w:t xml:space="preserve"> </w:t>
      </w:r>
      <w:r>
        <w:rPr>
          <w:rFonts w:cs="Arial"/>
        </w:rPr>
        <w:t>±</w:t>
      </w:r>
      <w:r>
        <w:t xml:space="preserve"> </w:t>
      </w:r>
      <w:proofErr w:type="spellStart"/>
      <w:r>
        <w:t>3°C</w:t>
      </w:r>
      <w:proofErr w:type="spellEnd"/>
      <w:r>
        <w:t>.  The temperature from the meter is preferred instead of a separate thermometer</w:t>
      </w:r>
      <w:r w:rsidR="004B4AE3">
        <w:t>.</w:t>
      </w:r>
    </w:p>
    <w:p w14:paraId="7E0A7C89" w14:textId="77777777" w:rsidR="001671DA" w:rsidRDefault="001671DA" w:rsidP="00633B14">
      <w:pPr>
        <w:pStyle w:val="11SOP"/>
      </w:pPr>
      <w:r>
        <w:t>Shake the probe gently to remove water dro</w:t>
      </w:r>
      <w:r w:rsidR="00633B14">
        <w:t xml:space="preserve">plets from the tip, or using a </w:t>
      </w:r>
      <w:r w:rsidR="00405A07">
        <w:t>lint-free tissue</w:t>
      </w:r>
      <w:r>
        <w:t xml:space="preserve">, gently </w:t>
      </w:r>
      <w:r w:rsidR="00AD626B">
        <w:t>dab</w:t>
      </w:r>
      <w:r>
        <w:t xml:space="preserve"> </w:t>
      </w:r>
      <w:r w:rsidR="001865A3">
        <w:t xml:space="preserve">the </w:t>
      </w:r>
      <w:r>
        <w:t>probe to remove water. Return the probe to a BOD bottle containing 1 inch of water, turn on the meter</w:t>
      </w:r>
      <w:r w:rsidR="009B03DC">
        <w:t>,</w:t>
      </w:r>
      <w:r>
        <w:t xml:space="preserve"> and allow the probe to stabilize (this may take up to 30</w:t>
      </w:r>
      <w:r w:rsidR="00633B14">
        <w:t xml:space="preserve"> </w:t>
      </w:r>
      <w:r w:rsidR="009B03DC">
        <w:t>min);</w:t>
      </w:r>
      <w:r>
        <w:t xml:space="preserve"> be consistent every day. The air in the BOD bottle must be saturated with water for the calibration to be done properly.</w:t>
      </w:r>
    </w:p>
    <w:p w14:paraId="73589312" w14:textId="77777777" w:rsidR="001671DA" w:rsidRDefault="001671DA" w:rsidP="00633B14">
      <w:pPr>
        <w:pStyle w:val="11SOP"/>
      </w:pPr>
      <w:r>
        <w:t xml:space="preserve">The </w:t>
      </w:r>
      <w:r w:rsidR="001865A3">
        <w:t>Model 123 meter instructions for a water-saturated-</w:t>
      </w:r>
      <w:r w:rsidR="00405A07">
        <w:t>air calibration are</w:t>
      </w:r>
      <w:r>
        <w:t xml:space="preserve"> the following:</w:t>
      </w:r>
    </w:p>
    <w:p w14:paraId="280F0AC2" w14:textId="77777777" w:rsidR="001671DA" w:rsidRPr="001671DA" w:rsidRDefault="001865A3" w:rsidP="00633B14">
      <w:pPr>
        <w:pStyle w:val="111SOP"/>
        <w:numPr>
          <w:ilvl w:val="0"/>
          <w:numId w:val="0"/>
        </w:numPr>
        <w:ind w:left="1440"/>
      </w:pPr>
      <w:r>
        <w:t xml:space="preserve">Press </w:t>
      </w:r>
      <w:r w:rsidRPr="001865A3">
        <w:rPr>
          <w:b/>
        </w:rPr>
        <w:t>Calibration</w:t>
      </w:r>
      <w:r>
        <w:t>, h</w:t>
      </w:r>
      <w:r w:rsidR="001671DA" w:rsidRPr="001671DA">
        <w:t xml:space="preserve">ighlight </w:t>
      </w:r>
      <w:r>
        <w:t>“</w:t>
      </w:r>
      <w:r w:rsidR="001671DA" w:rsidRPr="001865A3">
        <w:t>DO %</w:t>
      </w:r>
      <w:r>
        <w:t>,”</w:t>
      </w:r>
      <w:r w:rsidR="001671DA" w:rsidRPr="001865A3">
        <w:t xml:space="preserve"> </w:t>
      </w:r>
      <w:r w:rsidR="001671DA" w:rsidRPr="001671DA">
        <w:t xml:space="preserve">and press </w:t>
      </w:r>
      <w:r w:rsidR="001671DA" w:rsidRPr="001865A3">
        <w:rPr>
          <w:b/>
        </w:rPr>
        <w:t>enter</w:t>
      </w:r>
      <w:r w:rsidR="001671DA" w:rsidRPr="001671DA">
        <w:t xml:space="preserve"> to confirm.  The instrument will use the value from the internal barometer during calibration and will display this value in brackets at the top of the display. </w:t>
      </w:r>
      <w:r>
        <w:t xml:space="preserve"> Record the pressure</w:t>
      </w:r>
      <w:r w:rsidR="00A226A5">
        <w:t xml:space="preserve"> </w:t>
      </w:r>
      <w:r w:rsidR="00963364">
        <w:t xml:space="preserve">from the meter </w:t>
      </w:r>
      <w:r w:rsidR="00A226A5">
        <w:t>on the bench</w:t>
      </w:r>
      <w:r w:rsidR="00374B04">
        <w:t xml:space="preserve"> </w:t>
      </w:r>
      <w:r w:rsidR="00A226A5">
        <w:t>sheet</w:t>
      </w:r>
      <w:r>
        <w:t xml:space="preserve">.  </w:t>
      </w:r>
      <w:r w:rsidR="001671DA" w:rsidRPr="001671DA">
        <w:t xml:space="preserve">Highlight the barometer value and press </w:t>
      </w:r>
      <w:r w:rsidR="001671DA" w:rsidRPr="001865A3">
        <w:rPr>
          <w:b/>
        </w:rPr>
        <w:t>enter</w:t>
      </w:r>
      <w:r w:rsidR="001671DA" w:rsidRPr="001671DA">
        <w:t xml:space="preserve"> to adjust it if needed. If the barometer reading is incorrect, it is recommended that you calibrate your baromet</w:t>
      </w:r>
      <w:r>
        <w:t xml:space="preserve">er. Note: </w:t>
      </w:r>
      <w:r w:rsidR="001671DA" w:rsidRPr="001671DA">
        <w:t xml:space="preserve"> the barometer should be reading “true” barometric pressure (see Barometer section </w:t>
      </w:r>
      <w:r w:rsidR="004B4AE3">
        <w:t xml:space="preserve">in “Equipment and Supplies” </w:t>
      </w:r>
      <w:r w:rsidR="001671DA" w:rsidRPr="001671DA">
        <w:t xml:space="preserve">for more information on “true” barometric pressure). If the value is acceptable, there is no need to change it or perform a barometer calibration. Wait for the temperature and DO% values under “Actual Readings” to stabilize, then highlight </w:t>
      </w:r>
      <w:r w:rsidR="00CE449B">
        <w:t>“</w:t>
      </w:r>
      <w:r w:rsidR="001671DA" w:rsidRPr="001865A3">
        <w:t>Accept Calibration</w:t>
      </w:r>
      <w:r w:rsidR="00CE449B">
        <w:t>”</w:t>
      </w:r>
      <w:r w:rsidR="001671DA" w:rsidRPr="001865A3">
        <w:t xml:space="preserve"> </w:t>
      </w:r>
      <w:r w:rsidR="001671DA" w:rsidRPr="001671DA">
        <w:t xml:space="preserve">and press </w:t>
      </w:r>
      <w:r w:rsidR="001671DA" w:rsidRPr="001865A3">
        <w:rPr>
          <w:b/>
        </w:rPr>
        <w:t>enter</w:t>
      </w:r>
      <w:r w:rsidR="001671DA" w:rsidRPr="001671DA">
        <w:t xml:space="preserve"> to calibrate.</w:t>
      </w:r>
    </w:p>
    <w:p w14:paraId="641C79A2" w14:textId="77777777" w:rsidR="001671DA" w:rsidRDefault="001671DA" w:rsidP="00633B14">
      <w:pPr>
        <w:pStyle w:val="11SOP"/>
      </w:pPr>
      <w:r>
        <w:t>Document the calibration result.</w:t>
      </w:r>
      <w:r w:rsidR="00A02780">
        <w:t xml:space="preserve">  </w:t>
      </w:r>
      <w:r w:rsidR="00A226A5">
        <w:t xml:space="preserve">Using the recorded pressure and recorded room temperature from the DO meter, determine the theoretical DO value.  </w:t>
      </w:r>
      <w:r w:rsidR="00A02780">
        <w:t>Compare the calibration result to the theoretical DO; the two values should be within</w:t>
      </w:r>
      <w:r w:rsidR="00013B57">
        <w:t xml:space="preserve"> about</w:t>
      </w:r>
      <w:r w:rsidR="00A02780">
        <w:t xml:space="preserve"> 0.2 mg/L of each other.</w:t>
      </w:r>
      <w:r w:rsidR="005B6201">
        <w:t xml:space="preserve">  If not, </w:t>
      </w:r>
      <w:r w:rsidR="00702966">
        <w:t xml:space="preserve">check for reasons why (such as proper saturation or membrane replacement) or </w:t>
      </w:r>
      <w:r w:rsidR="005B6201">
        <w:t>recalibrate.</w:t>
      </w:r>
    </w:p>
    <w:p w14:paraId="33732ECB" w14:textId="77777777" w:rsidR="00043E6D" w:rsidRDefault="00F609CE" w:rsidP="00043E6D">
      <w:pPr>
        <w:pStyle w:val="10SOP"/>
      </w:pPr>
      <w:r>
        <w:t>Procedure</w:t>
      </w:r>
    </w:p>
    <w:p w14:paraId="64D6EDA6" w14:textId="77777777" w:rsidR="00384CA2" w:rsidRPr="00384CA2" w:rsidRDefault="00384CA2" w:rsidP="008064C1">
      <w:pPr>
        <w:pStyle w:val="11SOP"/>
      </w:pPr>
      <w:r>
        <w:t>Reagents and Solutions Preparation</w:t>
      </w:r>
    </w:p>
    <w:p w14:paraId="2467D338" w14:textId="1EDCBBFB" w:rsidR="008064C1" w:rsidRDefault="008064C1" w:rsidP="005B48BE">
      <w:pPr>
        <w:pStyle w:val="111SOP"/>
        <w:ind w:hanging="990"/>
      </w:pPr>
      <w:r w:rsidRPr="000D1E85">
        <w:rPr>
          <w:u w:val="single"/>
        </w:rPr>
        <w:t xml:space="preserve">Dilution </w:t>
      </w:r>
      <w:r w:rsidR="00AC6D68">
        <w:rPr>
          <w:u w:val="single"/>
        </w:rPr>
        <w:t>w</w:t>
      </w:r>
      <w:r w:rsidRPr="000D1E85">
        <w:rPr>
          <w:u w:val="single"/>
        </w:rPr>
        <w:t>ater preparation</w:t>
      </w:r>
      <w:r w:rsidRPr="00AC6D68">
        <w:t>:</w:t>
      </w:r>
      <w:r w:rsidR="009054E2">
        <w:t xml:space="preserve"> </w:t>
      </w:r>
      <w:r>
        <w:t xml:space="preserve"> To the large dedicat</w:t>
      </w:r>
      <w:r w:rsidR="00405A07">
        <w:t xml:space="preserve">ed carboy, fill to about </w:t>
      </w:r>
      <w:r w:rsidR="009054E2">
        <w:t>3.5 L</w:t>
      </w:r>
      <w:r>
        <w:t>, cover with a coffee filter</w:t>
      </w:r>
      <w:r w:rsidR="00471469">
        <w:t>, and</w:t>
      </w:r>
      <w:r>
        <w:t xml:space="preserve"> </w:t>
      </w:r>
      <w:r w:rsidR="00405A07">
        <w:t>secure with a rubber band</w:t>
      </w:r>
      <w:r>
        <w:t xml:space="preserve">. If using the aquarium pump system to aerate the water, insert the </w:t>
      </w:r>
      <w:r w:rsidR="00374B04">
        <w:t>serological</w:t>
      </w:r>
      <w:r>
        <w:t xml:space="preserve"> pi</w:t>
      </w:r>
      <w:r w:rsidR="00AC6D68">
        <w:t xml:space="preserve">pet into the water and aerate </w:t>
      </w:r>
      <w:r>
        <w:t>for at least one day. Alternatively</w:t>
      </w:r>
      <w:r w:rsidR="00AC6D68">
        <w:t>,</w:t>
      </w:r>
      <w:r>
        <w:t xml:space="preserve"> the w</w:t>
      </w:r>
      <w:r w:rsidR="00AC6D68">
        <w:t>ater must be shaken extensively</w:t>
      </w:r>
      <w:r>
        <w:t xml:space="preserve"> multiple t</w:t>
      </w:r>
      <w:r w:rsidR="00AC6D68">
        <w:t xml:space="preserve">imes to ensure it is </w:t>
      </w:r>
      <w:r w:rsidR="00AC6D68">
        <w:lastRenderedPageBreak/>
        <w:t xml:space="preserve">saturated; </w:t>
      </w:r>
      <w:r>
        <w:t>make sure ther</w:t>
      </w:r>
      <w:r w:rsidR="00AC6D68">
        <w:t>e is headspace in the container, mix</w:t>
      </w:r>
      <w:r>
        <w:t xml:space="preserve"> vigorous</w:t>
      </w:r>
      <w:r w:rsidR="00AC6D68">
        <w:t>ly, and periodically vent</w:t>
      </w:r>
      <w:r>
        <w:t xml:space="preserve">. </w:t>
      </w:r>
    </w:p>
    <w:p w14:paraId="3E1EE3FC" w14:textId="77777777" w:rsidR="00F609CE" w:rsidRDefault="008064C1" w:rsidP="00384CA2">
      <w:pPr>
        <w:pStyle w:val="11SOP"/>
        <w:numPr>
          <w:ilvl w:val="0"/>
          <w:numId w:val="0"/>
        </w:numPr>
        <w:ind w:left="2430"/>
      </w:pPr>
      <w:r>
        <w:t>On the day of use</w:t>
      </w:r>
      <w:r w:rsidR="00AC6D68">
        <w:t>,</w:t>
      </w:r>
      <w:r>
        <w:t xml:space="preserve"> fill to the 4 L mark (make sure it is still</w:t>
      </w:r>
      <w:r w:rsidR="004829F6">
        <w:t xml:space="preserve"> saturated) and add 4 mL</w:t>
      </w:r>
      <w:r>
        <w:t xml:space="preserve"> each of the four liquid nutrients (</w:t>
      </w:r>
      <w:proofErr w:type="spellStart"/>
      <w:r>
        <w:t>FeCl</w:t>
      </w:r>
      <w:r w:rsidRPr="001865A3">
        <w:rPr>
          <w:vertAlign w:val="subscript"/>
        </w:rPr>
        <w:t>3</w:t>
      </w:r>
      <w:proofErr w:type="spellEnd"/>
      <w:r>
        <w:t xml:space="preserve">, </w:t>
      </w:r>
      <w:proofErr w:type="spellStart"/>
      <w:r>
        <w:t>CaCl</w:t>
      </w:r>
      <w:r w:rsidRPr="001865A3">
        <w:rPr>
          <w:vertAlign w:val="subscript"/>
        </w:rPr>
        <w:t>2</w:t>
      </w:r>
      <w:proofErr w:type="spellEnd"/>
      <w:r>
        <w:t xml:space="preserve">, </w:t>
      </w:r>
      <w:proofErr w:type="spellStart"/>
      <w:r>
        <w:t>MgSO</w:t>
      </w:r>
      <w:r w:rsidRPr="001865A3">
        <w:rPr>
          <w:vertAlign w:val="subscript"/>
        </w:rPr>
        <w:t>4</w:t>
      </w:r>
      <w:proofErr w:type="spellEnd"/>
      <w:r>
        <w:t xml:space="preserve">, </w:t>
      </w:r>
      <w:proofErr w:type="spellStart"/>
      <w:r>
        <w:t>KH</w:t>
      </w:r>
      <w:r w:rsidRPr="001865A3">
        <w:rPr>
          <w:vertAlign w:val="subscript"/>
        </w:rPr>
        <w:t>2</w:t>
      </w:r>
      <w:r>
        <w:t>PO</w:t>
      </w:r>
      <w:r w:rsidRPr="001865A3">
        <w:rPr>
          <w:vertAlign w:val="subscript"/>
        </w:rPr>
        <w:t>4</w:t>
      </w:r>
      <w:proofErr w:type="spellEnd"/>
      <w:r>
        <w:t xml:space="preserve"> – </w:t>
      </w:r>
      <w:proofErr w:type="spellStart"/>
      <w:r>
        <w:t>PO</w:t>
      </w:r>
      <w:r w:rsidRPr="001865A3">
        <w:rPr>
          <w:vertAlign w:val="subscript"/>
        </w:rPr>
        <w:t>4</w:t>
      </w:r>
      <w:proofErr w:type="spellEnd"/>
      <w:r w:rsidR="00AC6D68">
        <w:t>);</w:t>
      </w:r>
      <w:r>
        <w:t xml:space="preserve"> refer to the section</w:t>
      </w:r>
      <w:r w:rsidR="004B4AE3">
        <w:t>, “Reagents and Standards.”</w:t>
      </w:r>
      <w:r>
        <w:t xml:space="preserve"> Swirl to mix the nutrients. If </w:t>
      </w:r>
      <w:r w:rsidR="00405A07">
        <w:t xml:space="preserve">preparing a different </w:t>
      </w:r>
      <w:r>
        <w:t xml:space="preserve">amount of dilution water, adjust the reagents so that the ratios are the same. </w:t>
      </w:r>
      <w:r w:rsidR="00AC6D68">
        <w:t xml:space="preserve"> </w:t>
      </w:r>
      <w:r w:rsidR="009054E2" w:rsidRPr="009054E2">
        <w:t xml:space="preserve">If using nutrient buffer pillows, </w:t>
      </w:r>
      <w:r w:rsidR="004B4AE3">
        <w:t>add a nutrient pillow designed to fortify the volume you are preparing (</w:t>
      </w:r>
      <w:r w:rsidR="004B4AE3" w:rsidRPr="004B4AE3">
        <w:rPr>
          <w:b/>
        </w:rPr>
        <w:t>4 L</w:t>
      </w:r>
      <w:r w:rsidR="004B4AE3">
        <w:t>)</w:t>
      </w:r>
      <w:r w:rsidR="009054E2" w:rsidRPr="009054E2">
        <w:t>.</w:t>
      </w:r>
      <w:r w:rsidR="009054E2">
        <w:rPr>
          <w:b/>
        </w:rPr>
        <w:t xml:space="preserve"> </w:t>
      </w:r>
      <w:r w:rsidRPr="00194B37">
        <w:rPr>
          <w:b/>
        </w:rPr>
        <w:t>Note any preparation changes from this procedure in the reagent log book.</w:t>
      </w:r>
      <w:r w:rsidR="009054E2">
        <w:rPr>
          <w:b/>
        </w:rPr>
        <w:t xml:space="preserve">  </w:t>
      </w:r>
    </w:p>
    <w:p w14:paraId="421D0FD1" w14:textId="77777777" w:rsidR="00F609CE" w:rsidRDefault="008064C1" w:rsidP="005B48BE">
      <w:pPr>
        <w:pStyle w:val="111SOP"/>
        <w:ind w:hanging="990"/>
      </w:pPr>
      <w:r w:rsidRPr="00500EBE">
        <w:rPr>
          <w:u w:val="single"/>
        </w:rPr>
        <w:t>Seed preparation</w:t>
      </w:r>
      <w:r w:rsidR="00AC6D68">
        <w:t xml:space="preserve"> (on days required):  In</w:t>
      </w:r>
      <w:r>
        <w:t xml:space="preserve"> a 1000 mL beaker, add 500 mL of the prepared dilution water (</w:t>
      </w:r>
      <w:r w:rsidR="00AC6D68">
        <w:t>with nutrients added).  Add one synthetic seed capsule</w:t>
      </w:r>
      <w:r>
        <w:t>.</w:t>
      </w:r>
      <w:r w:rsidR="00022E34">
        <w:t xml:space="preserve"> </w:t>
      </w:r>
      <w:r>
        <w:t xml:space="preserve">Aerate by mixing the seed rigorously for 1 hour using a stir </w:t>
      </w:r>
      <w:r w:rsidR="00103032">
        <w:t>bar and magnetic stir plate (s</w:t>
      </w:r>
      <w:r>
        <w:t>ee manufacturer’s instructions for deta</w:t>
      </w:r>
      <w:r w:rsidR="00AC6D68">
        <w:t>ils). Carefully remove stir bar</w:t>
      </w:r>
      <w:r w:rsidR="00103032">
        <w:t>,</w:t>
      </w:r>
      <w:r>
        <w:t xml:space="preserve"> and allow the particles to settle </w:t>
      </w:r>
      <w:r w:rsidR="00D451C1">
        <w:t xml:space="preserve">for </w:t>
      </w:r>
      <w:r>
        <w:t xml:space="preserve">at least </w:t>
      </w:r>
      <w:r w:rsidR="007D3741">
        <w:t>15</w:t>
      </w:r>
      <w:r>
        <w:t xml:space="preserve"> minutes</w:t>
      </w:r>
      <w:r w:rsidRPr="007D3741">
        <w:t xml:space="preserve">. </w:t>
      </w:r>
      <w:r w:rsidR="007D3741" w:rsidRPr="007D3741">
        <w:rPr>
          <w:szCs w:val="22"/>
        </w:rPr>
        <w:t xml:space="preserve">After 15 minutes, slowly decant off the top of the seed solution and pour into a clean beaker.  Make sure </w:t>
      </w:r>
      <w:r w:rsidR="007D3741" w:rsidRPr="007D3741">
        <w:rPr>
          <w:szCs w:val="22"/>
          <w:u w:val="single"/>
        </w:rPr>
        <w:t>not</w:t>
      </w:r>
      <w:r w:rsidR="007D3741" w:rsidRPr="007D3741">
        <w:rPr>
          <w:szCs w:val="22"/>
        </w:rPr>
        <w:t xml:space="preserve"> to include any of the settle solids (bran) into the beaker.</w:t>
      </w:r>
      <w:r w:rsidR="007D3741" w:rsidRPr="007D3741">
        <w:t xml:space="preserve"> </w:t>
      </w:r>
      <w:r w:rsidR="007D3741">
        <w:t>Place the beaker on a stir plate, add a stir bar, and gently stir the decanted seed solution. Insert a wide-bore pipet to just below the surface, taking care not to disturb the particles on top, and take a portion of the seed from between the vortex and the container wall.</w:t>
      </w:r>
    </w:p>
    <w:p w14:paraId="6FF49386" w14:textId="77777777" w:rsidR="008064C1" w:rsidRPr="00022E34" w:rsidRDefault="008064C1" w:rsidP="00384CA2">
      <w:pPr>
        <w:pStyle w:val="11SOP"/>
        <w:numPr>
          <w:ilvl w:val="0"/>
          <w:numId w:val="0"/>
        </w:numPr>
        <w:ind w:left="2430"/>
      </w:pPr>
      <w:r w:rsidRPr="00022E34">
        <w:t xml:space="preserve">If the </w:t>
      </w:r>
      <w:proofErr w:type="spellStart"/>
      <w:r w:rsidRPr="00022E34">
        <w:t>GGA</w:t>
      </w:r>
      <w:proofErr w:type="spellEnd"/>
      <w:r w:rsidRPr="00022E34">
        <w:t xml:space="preserve"> does not fall in the control range, increase/decrease the amount of seed used. It is necessary to have an adequate population of microorganisms capable of oxidizing the organic matter present in a sample. Alternatively, use settle mixed liquor or raw wastewater from a domestic wastewater treatment as a seed source.</w:t>
      </w:r>
    </w:p>
    <w:p w14:paraId="14CC6A47" w14:textId="77777777" w:rsidR="00F609CE" w:rsidRDefault="00AC6D68" w:rsidP="005B48BE">
      <w:pPr>
        <w:pStyle w:val="111SOP"/>
        <w:ind w:hanging="990"/>
      </w:pPr>
      <w:proofErr w:type="spellStart"/>
      <w:r>
        <w:rPr>
          <w:u w:val="single"/>
        </w:rPr>
        <w:t>GGA</w:t>
      </w:r>
      <w:proofErr w:type="spellEnd"/>
      <w:r>
        <w:rPr>
          <w:u w:val="single"/>
        </w:rPr>
        <w:t xml:space="preserve"> s</w:t>
      </w:r>
      <w:r w:rsidR="008064C1" w:rsidRPr="00243F9B">
        <w:rPr>
          <w:u w:val="single"/>
        </w:rPr>
        <w:t>tandard</w:t>
      </w:r>
      <w:r w:rsidRPr="00AC6D68">
        <w:rPr>
          <w:u w:val="single"/>
        </w:rPr>
        <w:t xml:space="preserve"> p</w:t>
      </w:r>
      <w:r w:rsidR="008064C1" w:rsidRPr="00AC6D68">
        <w:rPr>
          <w:u w:val="single"/>
        </w:rPr>
        <w:t>reparation</w:t>
      </w:r>
      <w:r w:rsidR="008064C1" w:rsidRPr="00243F9B">
        <w:t xml:space="preserve">: </w:t>
      </w:r>
      <w:r w:rsidR="00D451C1">
        <w:t xml:space="preserve"> </w:t>
      </w:r>
      <w:r w:rsidR="00022E34">
        <w:t>Prepare</w:t>
      </w:r>
      <w:r>
        <w:t xml:space="preserve"> this standard </w:t>
      </w:r>
      <w:r w:rsidR="00022E34">
        <w:t>once per week</w:t>
      </w:r>
      <w:r>
        <w:t xml:space="preserve"> unless there are failures</w:t>
      </w:r>
      <w:r w:rsidR="00702966">
        <w:t>,</w:t>
      </w:r>
      <w:r w:rsidR="008064C1" w:rsidRPr="00243F9B">
        <w:t xml:space="preserve"> then prepare it the next run as corrective action. Remove from refrigerator, p</w:t>
      </w:r>
      <w:r w:rsidR="008064C1">
        <w:t>our off enough for a single day</w:t>
      </w:r>
      <w:r w:rsidR="008064C1" w:rsidRPr="00243F9B">
        <w:t xml:space="preserve"> use into a clean beaker, and cover. Allow to warm to room temperature before use.  Return stock </w:t>
      </w:r>
      <w:proofErr w:type="spellStart"/>
      <w:r w:rsidR="008064C1" w:rsidRPr="00243F9B">
        <w:t>GGA</w:t>
      </w:r>
      <w:proofErr w:type="spellEnd"/>
      <w:r w:rsidR="008064C1" w:rsidRPr="00243F9B">
        <w:t xml:space="preserve"> bottle to refrigerator immediately after pouring off amount required for </w:t>
      </w:r>
      <w:r w:rsidR="00D451C1">
        <w:t xml:space="preserve">the </w:t>
      </w:r>
      <w:r w:rsidR="008064C1" w:rsidRPr="00243F9B">
        <w:t>day.</w:t>
      </w:r>
    </w:p>
    <w:p w14:paraId="0115DD2B" w14:textId="77777777" w:rsidR="00F609CE" w:rsidRDefault="00D451C1" w:rsidP="00F609CE">
      <w:pPr>
        <w:pStyle w:val="11SOP"/>
      </w:pPr>
      <w:r>
        <w:t>Sample Pretreatment</w:t>
      </w:r>
      <w:r w:rsidR="008064C1" w:rsidRPr="00702966">
        <w:t xml:space="preserve"> </w:t>
      </w:r>
      <w:r w:rsidR="008064C1">
        <w:t xml:space="preserve"> </w:t>
      </w:r>
    </w:p>
    <w:p w14:paraId="3ED27704" w14:textId="77777777" w:rsidR="00F609CE" w:rsidRDefault="008064C1" w:rsidP="005B48BE">
      <w:pPr>
        <w:pStyle w:val="111SOP"/>
        <w:ind w:hanging="990"/>
      </w:pPr>
      <w:r>
        <w:t>Shake the sample thoroughly to disperse solids</w:t>
      </w:r>
      <w:r w:rsidR="00C24109">
        <w:t>,</w:t>
      </w:r>
      <w:r w:rsidR="00963364">
        <w:t xml:space="preserve"> and bring the temperature to </w:t>
      </w:r>
      <w:proofErr w:type="spellStart"/>
      <w:r w:rsidR="00963364">
        <w:t>17</w:t>
      </w:r>
      <w:r w:rsidR="00C237EE">
        <w:t>°C</w:t>
      </w:r>
      <w:proofErr w:type="spellEnd"/>
      <w:r w:rsidR="00C237EE">
        <w:t xml:space="preserve"> </w:t>
      </w:r>
      <w:r w:rsidR="00963364">
        <w:t>-</w:t>
      </w:r>
      <w:r w:rsidR="00C237EE">
        <w:t xml:space="preserve"> </w:t>
      </w:r>
      <w:proofErr w:type="spellStart"/>
      <w:r w:rsidR="00963364">
        <w:t>23°C</w:t>
      </w:r>
      <w:proofErr w:type="spellEnd"/>
      <w:r>
        <w:t>. For samples that tend to have (or have been measured to have) DO levels above saturation (see saturation chart</w:t>
      </w:r>
      <w:r w:rsidR="00C24109">
        <w:t>*</w:t>
      </w:r>
      <w:r>
        <w:t xml:space="preserve">), warm to </w:t>
      </w:r>
      <w:proofErr w:type="spellStart"/>
      <w:r>
        <w:t>21</w:t>
      </w:r>
      <w:r w:rsidR="00C237EE">
        <w:t>°C</w:t>
      </w:r>
      <w:proofErr w:type="spellEnd"/>
      <w:r w:rsidR="00C237EE">
        <w:t xml:space="preserve"> </w:t>
      </w:r>
      <w:r>
        <w:t>-</w:t>
      </w:r>
      <w:r w:rsidR="00C237EE">
        <w:t xml:space="preserve"> </w:t>
      </w:r>
      <w:proofErr w:type="spellStart"/>
      <w:r>
        <w:t>22°C</w:t>
      </w:r>
      <w:proofErr w:type="spellEnd"/>
      <w:r>
        <w:t xml:space="preserve"> and strip excess DO by shaking sample vigorously in a bottle filled about ¾ full, remove the lid</w:t>
      </w:r>
      <w:r w:rsidR="00702966">
        <w:t>,</w:t>
      </w:r>
      <w:r>
        <w:t xml:space="preserve"> and let vent 2-3 seconds; repeat as needed.  DO NOT warm samples beyond </w:t>
      </w:r>
      <w:proofErr w:type="spellStart"/>
      <w:r>
        <w:t>23°C</w:t>
      </w:r>
      <w:proofErr w:type="spellEnd"/>
      <w:r>
        <w:t>.</w:t>
      </w:r>
      <w:r w:rsidR="00022E34">
        <w:t xml:space="preserve"> Record the sample temperature on the bench sheet.</w:t>
      </w:r>
    </w:p>
    <w:p w14:paraId="2B2C975E" w14:textId="77777777" w:rsidR="00C24109" w:rsidRPr="00C24109" w:rsidRDefault="00C24109" w:rsidP="005B48BE">
      <w:pPr>
        <w:pStyle w:val="111SOP"/>
        <w:numPr>
          <w:ilvl w:val="0"/>
          <w:numId w:val="0"/>
        </w:numPr>
        <w:ind w:left="2430"/>
        <w:rPr>
          <w:i/>
        </w:rPr>
      </w:pPr>
      <w:r w:rsidRPr="00C24109">
        <w:rPr>
          <w:i/>
        </w:rPr>
        <w:t xml:space="preserve">*Samples are considered super-saturated if the DO is </w:t>
      </w:r>
      <w:r>
        <w:rPr>
          <w:i/>
        </w:rPr>
        <w:t xml:space="preserve">more than a few tenths </w:t>
      </w:r>
      <w:r w:rsidRPr="00C24109">
        <w:rPr>
          <w:i/>
        </w:rPr>
        <w:t>above the theoretical saturation point.  The theoretical saturation point is based on the temperature and pressure at the time of calibration.</w:t>
      </w:r>
    </w:p>
    <w:p w14:paraId="68B7B7F4" w14:textId="77777777" w:rsidR="008064C1" w:rsidRPr="0046794D" w:rsidRDefault="008064C1" w:rsidP="005B48BE">
      <w:pPr>
        <w:pStyle w:val="111SOP"/>
        <w:ind w:hanging="990"/>
      </w:pPr>
      <w:r>
        <w:lastRenderedPageBreak/>
        <w:t xml:space="preserve">Check sample pH using pH paper or </w:t>
      </w:r>
      <w:r w:rsidR="00C24109">
        <w:t xml:space="preserve">a </w:t>
      </w:r>
      <w:r>
        <w:t>calibrated pH meter</w:t>
      </w:r>
      <w:r w:rsidR="00022E34">
        <w:t xml:space="preserve"> and record on the bench sheet</w:t>
      </w:r>
      <w:r>
        <w:t xml:space="preserve">. </w:t>
      </w:r>
      <w:r w:rsidRPr="00702966">
        <w:t xml:space="preserve">If the sample pH is not </w:t>
      </w:r>
      <w:r w:rsidRPr="005269BC">
        <w:t>between 6.0 and 8.5</w:t>
      </w:r>
      <w:r w:rsidR="00022E34">
        <w:t>, then bring a portion of the sample that will be used for BOD analysis</w:t>
      </w:r>
      <w:r w:rsidRPr="00702966">
        <w:t xml:space="preserve"> to a pH of 6.5 – 7.5 prior to analysis by adding no more than 0.5% of either the acid or the hydroxide (see </w:t>
      </w:r>
      <w:r w:rsidR="004B4AE3">
        <w:t>“R</w:t>
      </w:r>
      <w:r w:rsidRPr="00702966">
        <w:t>eagent</w:t>
      </w:r>
      <w:r w:rsidR="004B4AE3">
        <w:t>s and Standards”</w:t>
      </w:r>
      <w:r w:rsidRPr="00702966">
        <w:t xml:space="preserve"> section). Record the volume of the acid/base used and the final pH on </w:t>
      </w:r>
      <w:r w:rsidRPr="0046794D">
        <w:t>the bench</w:t>
      </w:r>
      <w:r w:rsidR="00374B04" w:rsidRPr="0046794D">
        <w:t xml:space="preserve"> </w:t>
      </w:r>
      <w:r w:rsidRPr="0046794D">
        <w:t>sheet. If the samp</w:t>
      </w:r>
      <w:r w:rsidR="00022E34">
        <w:t>le is adjusted, then it must be</w:t>
      </w:r>
      <w:r w:rsidRPr="0046794D">
        <w:t xml:space="preserve"> seeded.</w:t>
      </w:r>
    </w:p>
    <w:p w14:paraId="6B18FE6E" w14:textId="641A3F02" w:rsidR="00486837" w:rsidRPr="005B7E38" w:rsidRDefault="00486837" w:rsidP="005B48BE">
      <w:pPr>
        <w:pStyle w:val="111SOP"/>
        <w:ind w:hanging="990"/>
      </w:pPr>
      <w:r w:rsidRPr="0046794D">
        <w:t xml:space="preserve">If the sample was subjected to chlorination, check the sample for residual chlorine with chlorine test strips that can detect down to 0.1 mg/L or less.  If there is chlorine, </w:t>
      </w:r>
      <w:r w:rsidRPr="005B7E38">
        <w:t>treat with sodium sulfite</w:t>
      </w:r>
      <w:r w:rsidR="004A2241" w:rsidRPr="005B7E38">
        <w:t xml:space="preserve"> by following instructions in</w:t>
      </w:r>
      <w:r w:rsidR="00130017" w:rsidRPr="005B7E38">
        <w:t xml:space="preserve"> SM 5210 B (4)(b)(2). </w:t>
      </w:r>
      <w:r w:rsidR="00974752" w:rsidRPr="005B7E38">
        <w:t xml:space="preserve"> Document the residual chlorine check and sodium sulfite ID on the </w:t>
      </w:r>
      <w:proofErr w:type="spellStart"/>
      <w:r w:rsidR="00974752" w:rsidRPr="005B7E38">
        <w:t>benchsheet</w:t>
      </w:r>
      <w:proofErr w:type="spellEnd"/>
      <w:r w:rsidR="00974752" w:rsidRPr="005B7E38">
        <w:t>.</w:t>
      </w:r>
    </w:p>
    <w:p w14:paraId="38E5A64A" w14:textId="77777777" w:rsidR="00AC6D68" w:rsidRPr="00702966" w:rsidRDefault="00D451C1" w:rsidP="008064C1">
      <w:pPr>
        <w:pStyle w:val="11SOP"/>
      </w:pPr>
      <w:r>
        <w:t>Sample Setup (Read In)</w:t>
      </w:r>
      <w:r w:rsidR="00AC6D68" w:rsidRPr="00702966">
        <w:t xml:space="preserve">  </w:t>
      </w:r>
    </w:p>
    <w:p w14:paraId="5D29471D" w14:textId="77777777" w:rsidR="00F609CE" w:rsidRDefault="00702966" w:rsidP="005B48BE">
      <w:pPr>
        <w:pStyle w:val="111SOP"/>
        <w:ind w:hanging="990"/>
      </w:pPr>
      <w:r w:rsidRPr="00702966">
        <w:t xml:space="preserve">Be sure the following are documented on the bench sheet:  </w:t>
      </w:r>
      <w:r>
        <w:t xml:space="preserve">sample pH, sample temperature, </w:t>
      </w:r>
      <w:r w:rsidRPr="00702966">
        <w:t xml:space="preserve">room </w:t>
      </w:r>
      <w:r w:rsidR="008064C1" w:rsidRPr="00702966">
        <w:t>temperature</w:t>
      </w:r>
      <w:r w:rsidR="008064C1">
        <w:t xml:space="preserve">, barometric pressure, </w:t>
      </w:r>
      <w:r>
        <w:t>calibration DO, theoretical DO, analyst i</w:t>
      </w:r>
      <w:r w:rsidR="006927B0">
        <w:t xml:space="preserve">nitials, </w:t>
      </w:r>
      <w:r>
        <w:t>and date.  Also record the IDs or lot numbers of all chemicals used during analysis.</w:t>
      </w:r>
    </w:p>
    <w:p w14:paraId="139A0266" w14:textId="77777777" w:rsidR="006927B0" w:rsidRDefault="006927B0" w:rsidP="005B48BE">
      <w:pPr>
        <w:pStyle w:val="111SOP"/>
        <w:ind w:hanging="990"/>
      </w:pPr>
      <w:r>
        <w:t>Rotate the BOD bottles being used so that the same bottles are not used for the same samples each time. Write the start time for the analysis on the bench sheet.</w:t>
      </w:r>
    </w:p>
    <w:p w14:paraId="165AB4E3" w14:textId="77777777" w:rsidR="005269BC" w:rsidRDefault="005269BC" w:rsidP="005B48BE">
      <w:pPr>
        <w:pStyle w:val="111SOP"/>
        <w:ind w:hanging="990"/>
      </w:pPr>
      <w:r>
        <w:t xml:space="preserve">Add some dilution water to each bottle </w:t>
      </w:r>
      <w:r w:rsidR="00C24109">
        <w:t>(</w:t>
      </w:r>
      <w:r>
        <w:t>except sample dilutions using 300 mL of sample</w:t>
      </w:r>
      <w:r w:rsidR="00C24109">
        <w:t>)</w:t>
      </w:r>
      <w:r>
        <w:t>.</w:t>
      </w:r>
    </w:p>
    <w:p w14:paraId="30DA13ED" w14:textId="77777777" w:rsidR="008064C1" w:rsidRDefault="005269BC" w:rsidP="005B48BE">
      <w:pPr>
        <w:pStyle w:val="111SOP"/>
        <w:ind w:hanging="990"/>
      </w:pPr>
      <w:r>
        <w:t>Q</w:t>
      </w:r>
      <w:r w:rsidR="007D3ABD">
        <w:t>C</w:t>
      </w:r>
      <w:r>
        <w:t xml:space="preserve"> </w:t>
      </w:r>
      <w:r w:rsidR="007D3ABD">
        <w:t xml:space="preserve">Sample </w:t>
      </w:r>
      <w:r>
        <w:t>Setup</w:t>
      </w:r>
      <w:r w:rsidR="008064C1">
        <w:t>:</w:t>
      </w:r>
    </w:p>
    <w:p w14:paraId="393B2C10" w14:textId="77777777" w:rsidR="008064C1" w:rsidRPr="008064C1" w:rsidRDefault="005269BC" w:rsidP="005B48BE">
      <w:pPr>
        <w:pStyle w:val="1111SOP"/>
        <w:ind w:hanging="1170"/>
      </w:pPr>
      <w:r>
        <w:t xml:space="preserve">Seed Controls: </w:t>
      </w:r>
      <w:r w:rsidR="006927B0">
        <w:t xml:space="preserve"> Once per week (or if any samples </w:t>
      </w:r>
      <w:r w:rsidR="00022E34">
        <w:t xml:space="preserve">or QC </w:t>
      </w:r>
      <w:r w:rsidR="006927B0">
        <w:t>are seeded), p</w:t>
      </w:r>
      <w:r w:rsidR="008064C1">
        <w:t xml:space="preserve">repare three dilutions using </w:t>
      </w:r>
      <w:r w:rsidR="008064C1">
        <w:rPr>
          <w:b/>
        </w:rPr>
        <w:t>15</w:t>
      </w:r>
      <w:r w:rsidR="008064C1" w:rsidRPr="00E26AB5">
        <w:rPr>
          <w:b/>
        </w:rPr>
        <w:t xml:space="preserve">, </w:t>
      </w:r>
      <w:r w:rsidR="008064C1">
        <w:rPr>
          <w:b/>
        </w:rPr>
        <w:t>20</w:t>
      </w:r>
      <w:r w:rsidR="008064C1" w:rsidRPr="00E26AB5">
        <w:rPr>
          <w:b/>
        </w:rPr>
        <w:t>,</w:t>
      </w:r>
      <w:r w:rsidR="008064C1">
        <w:t xml:space="preserve"> and </w:t>
      </w:r>
      <w:r w:rsidR="008064C1">
        <w:rPr>
          <w:b/>
        </w:rPr>
        <w:t>25</w:t>
      </w:r>
      <w:r>
        <w:t xml:space="preserve"> mL</w:t>
      </w:r>
      <w:r w:rsidR="008064C1">
        <w:t xml:space="preserve"> of the </w:t>
      </w:r>
      <w:r>
        <w:t>synthetic</w:t>
      </w:r>
      <w:r w:rsidR="008064C1">
        <w:t xml:space="preserve"> seed solution (see </w:t>
      </w:r>
      <w:r w:rsidR="00022E34">
        <w:t>“Seed Preparation”</w:t>
      </w:r>
      <w:r w:rsidR="008064C1">
        <w:t xml:space="preserve">) to BOD bottles. </w:t>
      </w:r>
      <w:r w:rsidR="008064C1" w:rsidRPr="00654374">
        <w:t>The volumes of seed solution may be adjusted as needed to produce the 2.0 mg/L depletion and 1.0 mg/L residual DO at the end of the test. Only one seed control is required, but preparing multiple dilutions is typical.</w:t>
      </w:r>
    </w:p>
    <w:p w14:paraId="2E1627CC" w14:textId="77777777" w:rsidR="008064C1" w:rsidRDefault="005269BC" w:rsidP="005B48BE">
      <w:pPr>
        <w:pStyle w:val="1111SOP"/>
        <w:ind w:hanging="1170"/>
      </w:pPr>
      <w:proofErr w:type="spellStart"/>
      <w:r>
        <w:t>GGA</w:t>
      </w:r>
      <w:proofErr w:type="spellEnd"/>
      <w:r>
        <w:t xml:space="preserve">:  </w:t>
      </w:r>
      <w:r w:rsidR="006927B0">
        <w:t>Once per week</w:t>
      </w:r>
      <w:r w:rsidR="002B41C9">
        <w:t xml:space="preserve"> (if &lt;20 samples)</w:t>
      </w:r>
      <w:r w:rsidR="006927B0">
        <w:t>, u</w:t>
      </w:r>
      <w:r w:rsidR="008064C1">
        <w:t>sing a 6</w:t>
      </w:r>
      <w:r>
        <w:t xml:space="preserve"> mL</w:t>
      </w:r>
      <w:r w:rsidR="008064C1">
        <w:t xml:space="preserve"> class A volumetric pipet, add </w:t>
      </w:r>
      <w:r w:rsidR="008064C1" w:rsidRPr="005269BC">
        <w:t xml:space="preserve">6 </w:t>
      </w:r>
      <w:r w:rsidR="008064C1">
        <w:t>m</w:t>
      </w:r>
      <w:r w:rsidR="002B41C9">
        <w:t xml:space="preserve">L of room temperature </w:t>
      </w:r>
      <w:proofErr w:type="spellStart"/>
      <w:r w:rsidR="002B41C9">
        <w:t>GGA</w:t>
      </w:r>
      <w:proofErr w:type="spellEnd"/>
      <w:r w:rsidR="002B41C9">
        <w:t xml:space="preserve"> to a</w:t>
      </w:r>
      <w:r w:rsidR="008064C1">
        <w:t xml:space="preserve"> BOD bottle </w:t>
      </w:r>
      <w:r>
        <w:t xml:space="preserve">that is </w:t>
      </w:r>
      <w:r w:rsidR="008064C1">
        <w:t>mostly filled with prepared dilution water. Add</w:t>
      </w:r>
      <w:r w:rsidR="008064C1" w:rsidRPr="00654374">
        <w:rPr>
          <w:b/>
        </w:rPr>
        <w:t xml:space="preserve"> </w:t>
      </w:r>
      <w:r w:rsidR="008064C1">
        <w:rPr>
          <w:b/>
        </w:rPr>
        <w:t>4</w:t>
      </w:r>
      <w:r>
        <w:rPr>
          <w:b/>
        </w:rPr>
        <w:t xml:space="preserve"> </w:t>
      </w:r>
      <w:r w:rsidR="008064C1" w:rsidRPr="00654374">
        <w:rPr>
          <w:b/>
        </w:rPr>
        <w:t>m</w:t>
      </w:r>
      <w:r>
        <w:rPr>
          <w:b/>
        </w:rPr>
        <w:t>L</w:t>
      </w:r>
      <w:r>
        <w:t xml:space="preserve"> of s</w:t>
      </w:r>
      <w:r w:rsidR="00A002EF">
        <w:t>eed (or an appropriate amount).</w:t>
      </w:r>
      <w:r w:rsidR="008064C1">
        <w:t xml:space="preserve"> </w:t>
      </w:r>
      <w:r w:rsidR="008064C1" w:rsidRPr="00654374">
        <w:rPr>
          <w:i/>
        </w:rPr>
        <w:t>Strive for a seed correction in the 0.6</w:t>
      </w:r>
      <w:r w:rsidR="00F576C5">
        <w:rPr>
          <w:i/>
        </w:rPr>
        <w:t xml:space="preserve"> </w:t>
      </w:r>
      <w:r w:rsidR="008064C1" w:rsidRPr="00654374">
        <w:rPr>
          <w:i/>
        </w:rPr>
        <w:t>-</w:t>
      </w:r>
      <w:r w:rsidR="00F576C5">
        <w:rPr>
          <w:i/>
        </w:rPr>
        <w:t xml:space="preserve"> </w:t>
      </w:r>
      <w:r w:rsidR="008064C1" w:rsidRPr="00654374">
        <w:rPr>
          <w:i/>
        </w:rPr>
        <w:t xml:space="preserve">1.0 mg/L range (the mL of seed added </w:t>
      </w:r>
      <w:r>
        <w:rPr>
          <w:i/>
        </w:rPr>
        <w:t>may be adjusted in order to obtain</w:t>
      </w:r>
      <w:r w:rsidR="008064C1" w:rsidRPr="00654374">
        <w:rPr>
          <w:i/>
        </w:rPr>
        <w:t xml:space="preserve"> a passing </w:t>
      </w:r>
      <w:proofErr w:type="spellStart"/>
      <w:r w:rsidR="008064C1" w:rsidRPr="00654374">
        <w:rPr>
          <w:i/>
        </w:rPr>
        <w:t>GGA</w:t>
      </w:r>
      <w:proofErr w:type="spellEnd"/>
      <w:r w:rsidR="008064C1" w:rsidRPr="00654374">
        <w:rPr>
          <w:i/>
        </w:rPr>
        <w:t xml:space="preserve"> result in the 198</w:t>
      </w:r>
      <w:r w:rsidR="008064C1" w:rsidRPr="006D24C3">
        <w:rPr>
          <w:i/>
        </w:rPr>
        <w:t xml:space="preserve"> </w:t>
      </w:r>
      <w:r w:rsidR="006D24C3" w:rsidRPr="006D24C3">
        <w:rPr>
          <w:rFonts w:cs="Arial"/>
          <w:i/>
        </w:rPr>
        <w:t>±</w:t>
      </w:r>
      <w:r w:rsidR="008064C1" w:rsidRPr="00654374">
        <w:rPr>
          <w:i/>
        </w:rPr>
        <w:t xml:space="preserve"> 30.5 mg/L range).</w:t>
      </w:r>
    </w:p>
    <w:p w14:paraId="2301899D" w14:textId="77777777" w:rsidR="005269BC" w:rsidRDefault="005269BC" w:rsidP="005B48BE">
      <w:pPr>
        <w:pStyle w:val="1111SOP"/>
        <w:ind w:hanging="1170"/>
      </w:pPr>
      <w:r>
        <w:t xml:space="preserve">Method Blank:  </w:t>
      </w:r>
      <w:r w:rsidR="006927B0">
        <w:t>With every batch set up, p</w:t>
      </w:r>
      <w:r>
        <w:t>repare one dilution water blank by filling the BO</w:t>
      </w:r>
      <w:r w:rsidR="002B41C9">
        <w:t>D bottle all the way to the top with dilution water.</w:t>
      </w:r>
    </w:p>
    <w:p w14:paraId="0D0910F9" w14:textId="77777777" w:rsidR="00F609CE" w:rsidRDefault="005269BC" w:rsidP="005B48BE">
      <w:pPr>
        <w:pStyle w:val="111SOP"/>
        <w:ind w:hanging="990"/>
      </w:pPr>
      <w:r w:rsidRPr="005269BC">
        <w:t>S</w:t>
      </w:r>
      <w:r w:rsidR="007D3ABD">
        <w:t>ample Setup</w:t>
      </w:r>
      <w:r w:rsidRPr="005269BC">
        <w:t>:</w:t>
      </w:r>
    </w:p>
    <w:p w14:paraId="2FDCD821" w14:textId="77777777" w:rsidR="008064C1" w:rsidRDefault="008064C1" w:rsidP="005B48BE">
      <w:pPr>
        <w:pStyle w:val="1111SOP"/>
        <w:ind w:hanging="1170"/>
      </w:pPr>
      <w:r w:rsidRPr="00AD2BEE">
        <w:t>Document the sample IDs and volumes.</w:t>
      </w:r>
    </w:p>
    <w:p w14:paraId="465C4241" w14:textId="77777777" w:rsidR="008064C1" w:rsidRDefault="008064C1" w:rsidP="005B48BE">
      <w:pPr>
        <w:pStyle w:val="1111SOP"/>
        <w:ind w:hanging="1170"/>
      </w:pPr>
      <w:r>
        <w:lastRenderedPageBreak/>
        <w:t xml:space="preserve">Shake to mix (stir if using pipettes) the samples well to disperse solids. See section on </w:t>
      </w:r>
      <w:r w:rsidR="004B4AE3">
        <w:t>“Sample P</w:t>
      </w:r>
      <w:r>
        <w:t>retreatment.</w:t>
      </w:r>
      <w:r w:rsidR="004B4AE3">
        <w:t>”</w:t>
      </w:r>
    </w:p>
    <w:p w14:paraId="5C669067" w14:textId="77777777" w:rsidR="008064C1" w:rsidRDefault="008064C1" w:rsidP="005B48BE">
      <w:pPr>
        <w:pStyle w:val="1111SOP"/>
        <w:ind w:hanging="1170"/>
      </w:pPr>
      <w:r>
        <w:t xml:space="preserve">Using a wide-tipped pipette for </w:t>
      </w:r>
      <w:r w:rsidR="006927B0">
        <w:t>samples volumes less than 25 mL</w:t>
      </w:r>
      <w:r>
        <w:t xml:space="preserve"> or a graduated cylinder for larger sample volumes, measure the proper amount of well-mixed sample into 300 mL </w:t>
      </w:r>
      <w:r w:rsidR="002B41C9">
        <w:t xml:space="preserve">BOD </w:t>
      </w:r>
      <w:r>
        <w:t>bottle</w:t>
      </w:r>
      <w:r w:rsidR="006927B0">
        <w:t>s</w:t>
      </w:r>
      <w:r>
        <w:t>.</w:t>
      </w:r>
    </w:p>
    <w:p w14:paraId="65BEA29F" w14:textId="77777777" w:rsidR="00F609CE" w:rsidRPr="00E657FA" w:rsidRDefault="00E657FA" w:rsidP="002B41C9">
      <w:pPr>
        <w:pStyle w:val="1111SOP"/>
        <w:numPr>
          <w:ilvl w:val="0"/>
          <w:numId w:val="0"/>
        </w:numPr>
        <w:ind w:left="3600"/>
      </w:pPr>
      <w:r>
        <w:t xml:space="preserve">Add the appropriate amount of sample to BOD bottles. Typical for this lab are: </w:t>
      </w:r>
      <w:r w:rsidR="00F576C5">
        <w:t xml:space="preserve"> </w:t>
      </w:r>
      <w:r>
        <w:rPr>
          <w:b/>
        </w:rPr>
        <w:t xml:space="preserve">150 </w:t>
      </w:r>
      <w:r w:rsidRPr="00AB2FC3">
        <w:rPr>
          <w:b/>
        </w:rPr>
        <w:t xml:space="preserve">&amp; </w:t>
      </w:r>
      <w:r>
        <w:rPr>
          <w:b/>
        </w:rPr>
        <w:t>200 mL for effluent</w:t>
      </w:r>
      <w:r w:rsidRPr="00AB2FC3">
        <w:rPr>
          <w:b/>
        </w:rPr>
        <w:t xml:space="preserve"> </w:t>
      </w:r>
      <w:r>
        <w:rPr>
          <w:b/>
        </w:rPr>
        <w:t xml:space="preserve">(final) </w:t>
      </w:r>
      <w:r w:rsidRPr="00AB2FC3">
        <w:rPr>
          <w:b/>
        </w:rPr>
        <w:t xml:space="preserve">and </w:t>
      </w:r>
      <w:r>
        <w:rPr>
          <w:b/>
        </w:rPr>
        <w:t>4</w:t>
      </w:r>
      <w:r w:rsidRPr="00AB2FC3">
        <w:rPr>
          <w:b/>
        </w:rPr>
        <w:t xml:space="preserve"> &amp; </w:t>
      </w:r>
      <w:r>
        <w:rPr>
          <w:b/>
        </w:rPr>
        <w:t>6 mL for influent (raw)</w:t>
      </w:r>
      <w:r w:rsidRPr="00AB2FC3">
        <w:rPr>
          <w:b/>
        </w:rPr>
        <w:t>.</w:t>
      </w:r>
      <w:r>
        <w:rPr>
          <w:b/>
        </w:rPr>
        <w:t xml:space="preserve">  </w:t>
      </w:r>
      <w:r w:rsidRPr="00CE1491">
        <w:rPr>
          <w:i/>
        </w:rPr>
        <w:t>These are adjusted to obtain the depletion of 2</w:t>
      </w:r>
      <w:r w:rsidR="007D3ABD">
        <w:rPr>
          <w:i/>
        </w:rPr>
        <w:t xml:space="preserve"> mg/L</w:t>
      </w:r>
      <w:r w:rsidRPr="00CE1491">
        <w:rPr>
          <w:i/>
        </w:rPr>
        <w:t xml:space="preserve"> and residual of 1 DO in mg/L. See previous bench sheets for amounts. Try to obtain at least 2 dilutions with </w:t>
      </w:r>
      <w:r w:rsidR="007D3ABD">
        <w:rPr>
          <w:i/>
        </w:rPr>
        <w:t>DO uptake in this range. Note:  a</w:t>
      </w:r>
      <w:r w:rsidRPr="00CE1491">
        <w:rPr>
          <w:i/>
        </w:rPr>
        <w:t>lways strive to take the maximum sample volume possible.</w:t>
      </w:r>
    </w:p>
    <w:p w14:paraId="5D719A7B" w14:textId="77777777" w:rsidR="00E657FA" w:rsidRDefault="004829F6" w:rsidP="005B48BE">
      <w:pPr>
        <w:pStyle w:val="1111SOP"/>
        <w:ind w:hanging="1170"/>
      </w:pPr>
      <w:r>
        <w:t>If less than 3 mL</w:t>
      </w:r>
      <w:r w:rsidR="00E657FA">
        <w:t xml:space="preserve"> of</w:t>
      </w:r>
      <w:r w:rsidR="007D3ABD">
        <w:t xml:space="preserve"> sample would be added to a 300 mL</w:t>
      </w:r>
      <w:r w:rsidR="00E657FA">
        <w:t xml:space="preserve"> bottle, as a preliminary step, prepar</w:t>
      </w:r>
      <w:r w:rsidR="007D3ABD">
        <w:t xml:space="preserve">e a </w:t>
      </w:r>
      <w:proofErr w:type="spellStart"/>
      <w:r w:rsidR="007D3ABD">
        <w:t>10x</w:t>
      </w:r>
      <w:proofErr w:type="spellEnd"/>
      <w:r w:rsidR="007D3ABD">
        <w:t xml:space="preserve"> dilution of the sample by pipetting 10 mL of sample </w:t>
      </w:r>
      <w:r w:rsidR="003A7425">
        <w:t>in</w:t>
      </w:r>
      <w:r w:rsidR="007D3ABD">
        <w:t>to a 100 mL</w:t>
      </w:r>
      <w:r w:rsidR="00E657FA">
        <w:t xml:space="preserve"> graduated cylinder, </w:t>
      </w:r>
      <w:r w:rsidR="007D3ABD">
        <w:t xml:space="preserve">and </w:t>
      </w:r>
      <w:r w:rsidR="00E657FA">
        <w:t>fill to volume with BOD dilution water. 10 m</w:t>
      </w:r>
      <w:r w:rsidR="007D3ABD">
        <w:t>L</w:t>
      </w:r>
      <w:r w:rsidR="00E657FA">
        <w:t xml:space="preserve"> of this di</w:t>
      </w:r>
      <w:r w:rsidR="007D3ABD">
        <w:t>luted sample = 1 mL</w:t>
      </w:r>
      <w:r w:rsidR="00E657FA">
        <w:t xml:space="preserve"> of sample.</w:t>
      </w:r>
      <w:r w:rsidR="007D3ABD">
        <w:t xml:space="preserve">  Record the dilution on the bench sheet.</w:t>
      </w:r>
    </w:p>
    <w:p w14:paraId="6A405006" w14:textId="77777777" w:rsidR="00E657FA" w:rsidRDefault="002B41C9" w:rsidP="005B48BE">
      <w:pPr>
        <w:pStyle w:val="1111SOP"/>
        <w:ind w:hanging="1170"/>
      </w:pPr>
      <w:r>
        <w:t>If a dilution of more than 200</w:t>
      </w:r>
      <w:r w:rsidR="00E657FA">
        <w:t xml:space="preserve"> mL </w:t>
      </w:r>
      <w:r>
        <w:t xml:space="preserve">(201 – 300 mL) </w:t>
      </w:r>
      <w:r w:rsidR="00E657FA">
        <w:t>of undiluted sample is prepared</w:t>
      </w:r>
      <w:r w:rsidR="007D3ABD">
        <w:t>,</w:t>
      </w:r>
      <w:r w:rsidR="00E657FA">
        <w:t xml:space="preserve"> add </w:t>
      </w:r>
      <w:r>
        <w:t xml:space="preserve">0.3 mL of each of the liquid nutrients (or </w:t>
      </w:r>
      <w:r w:rsidR="00E657FA">
        <w:t>a nutrient pillow designed to fortify 300 mL).  Document the added nutrients on the bench sheet.</w:t>
      </w:r>
    </w:p>
    <w:p w14:paraId="404AF33C" w14:textId="55265BF7" w:rsidR="00A002EF" w:rsidRDefault="00A002EF" w:rsidP="005B48BE">
      <w:pPr>
        <w:pStyle w:val="1111SOP"/>
        <w:ind w:hanging="1170"/>
      </w:pPr>
      <w:r>
        <w:t xml:space="preserve">Add seed to samples that were collected after disinfection, if pH adjusted, untreated industrial wastes, or if treated with a nitrifying inhibitor for </w:t>
      </w:r>
      <w:proofErr w:type="spellStart"/>
      <w:r w:rsidR="008E5B2F">
        <w:t>c</w:t>
      </w:r>
      <w:r>
        <w:t>BOD</w:t>
      </w:r>
      <w:proofErr w:type="spellEnd"/>
      <w:r>
        <w:t xml:space="preserve">.  Use </w:t>
      </w:r>
      <w:r w:rsidRPr="00A002EF">
        <w:rPr>
          <w:b/>
        </w:rPr>
        <w:t>4 mL</w:t>
      </w:r>
      <w:r>
        <w:t xml:space="preserve"> of seed or the same amount </w:t>
      </w:r>
      <w:r w:rsidR="004B4AE3">
        <w:t xml:space="preserve">as </w:t>
      </w:r>
      <w:r>
        <w:t xml:space="preserve">used for </w:t>
      </w:r>
      <w:proofErr w:type="spellStart"/>
      <w:r>
        <w:t>GGA</w:t>
      </w:r>
      <w:proofErr w:type="spellEnd"/>
      <w:r>
        <w:t>.</w:t>
      </w:r>
    </w:p>
    <w:p w14:paraId="166224B5" w14:textId="77777777" w:rsidR="00F609CE" w:rsidRDefault="00E657FA" w:rsidP="005B48BE">
      <w:pPr>
        <w:pStyle w:val="111SOP"/>
        <w:ind w:hanging="990"/>
      </w:pPr>
      <w:r>
        <w:t>Slowly add enough prepared dilution water half way up the frosted neck on each bottle.</w:t>
      </w:r>
    </w:p>
    <w:p w14:paraId="4E26FA69" w14:textId="77777777" w:rsidR="00F609CE" w:rsidRDefault="00E657FA" w:rsidP="005B48BE">
      <w:pPr>
        <w:pStyle w:val="111SOP"/>
        <w:ind w:hanging="990"/>
      </w:pPr>
      <w:r>
        <w:t xml:space="preserve">Measure </w:t>
      </w:r>
      <w:r w:rsidR="007D3ABD">
        <w:t xml:space="preserve">the </w:t>
      </w:r>
      <w:r>
        <w:t>initial DO using the calibrated DO meter. Carefully place the probe into the BOD bottle and turn on the stirrer (</w:t>
      </w:r>
      <w:r w:rsidR="002B41C9">
        <w:t>uniform stirring is essential for</w:t>
      </w:r>
      <w:r>
        <w:t xml:space="preserve"> correct DO measurement). Sample analysis is done with the bottle stirring and the mode switched to H2O. Allow the reading to stabilize (1-2 min).</w:t>
      </w:r>
    </w:p>
    <w:p w14:paraId="486172FF" w14:textId="77777777" w:rsidR="00046C43" w:rsidRPr="00046C43" w:rsidRDefault="007D3ABD" w:rsidP="005B48BE">
      <w:pPr>
        <w:pStyle w:val="111SOP"/>
        <w:ind w:hanging="990"/>
      </w:pPr>
      <w:r>
        <w:t>Record the initial DO reading for</w:t>
      </w:r>
      <w:r w:rsidR="00E657FA">
        <w:t xml:space="preserve"> each of the BOD bottles on the BOD bench sheet. The initial DO value should be comparable to the meter calibration value (within a few tenths). If the sample is not properly saturated, fol</w:t>
      </w:r>
      <w:r>
        <w:t>low instructions for saturating</w:t>
      </w:r>
      <w:r w:rsidR="004B4AE3">
        <w:t xml:space="preserve"> in section, “</w:t>
      </w:r>
      <w:r>
        <w:t>Sample Pretreatment</w:t>
      </w:r>
      <w:r w:rsidR="004B4AE3">
        <w:t>.”</w:t>
      </w:r>
    </w:p>
    <w:p w14:paraId="5D858D35" w14:textId="77777777" w:rsidR="00046C43" w:rsidRDefault="00E657FA" w:rsidP="005B48BE">
      <w:pPr>
        <w:pStyle w:val="111SOP"/>
        <w:ind w:hanging="990"/>
      </w:pPr>
      <w:r>
        <w:t>The DO probe is thoroughly rinsed with DI water after each reading. Repeat this process until the initial D</w:t>
      </w:r>
      <w:r w:rsidR="002B41C9">
        <w:t>O measurements have been made on</w:t>
      </w:r>
      <w:r>
        <w:t xml:space="preserve"> all of the BOD bottles.</w:t>
      </w:r>
    </w:p>
    <w:p w14:paraId="67870BA9" w14:textId="77777777" w:rsidR="00F609CE" w:rsidRDefault="00E657FA" w:rsidP="005B48BE">
      <w:pPr>
        <w:pStyle w:val="111SOP"/>
        <w:ind w:hanging="990"/>
      </w:pPr>
      <w:r>
        <w:lastRenderedPageBreak/>
        <w:t>Fill each BOD bottle with additional dilution water (if necessary) to a level where insertion of the glass stopper displaces all air, leaving none trapped in the neck of the bottle.</w:t>
      </w:r>
    </w:p>
    <w:p w14:paraId="42D73154" w14:textId="77777777" w:rsidR="00E657FA" w:rsidRDefault="00E657FA" w:rsidP="005B48BE">
      <w:pPr>
        <w:pStyle w:val="111SOP"/>
        <w:ind w:hanging="990"/>
      </w:pPr>
      <w:r>
        <w:t>Fill the space around the bottle stopper with distilled or DI water to form a water seal. Place a plastic cap over the stopper to prevent evaporation of the water seal while the sample is being incubated. The water seal and cap are very important in preventing oxygen flow to/from the bottle during incubation.</w:t>
      </w:r>
    </w:p>
    <w:p w14:paraId="548C42AC" w14:textId="77777777" w:rsidR="00E657FA" w:rsidRDefault="00E657FA" w:rsidP="005B48BE">
      <w:pPr>
        <w:pStyle w:val="111SOP"/>
        <w:ind w:hanging="990"/>
      </w:pPr>
      <w:r>
        <w:t xml:space="preserve">Place </w:t>
      </w:r>
      <w:r w:rsidR="007D3ABD">
        <w:t xml:space="preserve">all </w:t>
      </w:r>
      <w:r>
        <w:t xml:space="preserve">samples in the </w:t>
      </w:r>
      <w:r w:rsidR="002B41C9">
        <w:t xml:space="preserve">BOD </w:t>
      </w:r>
      <w:r>
        <w:t xml:space="preserve">incubator, and incubate at </w:t>
      </w:r>
      <w:proofErr w:type="spellStart"/>
      <w:r>
        <w:t>20°</w:t>
      </w:r>
      <w:r w:rsidR="00C237EE">
        <w:t>C</w:t>
      </w:r>
      <w:proofErr w:type="spellEnd"/>
      <w:r w:rsidR="007D3ABD">
        <w:t xml:space="preserve"> </w:t>
      </w:r>
      <w:r>
        <w:t>±</w:t>
      </w:r>
      <w:r w:rsidR="007D3ABD">
        <w:t xml:space="preserve"> </w:t>
      </w:r>
      <w:proofErr w:type="spellStart"/>
      <w:r>
        <w:t>1°C</w:t>
      </w:r>
      <w:proofErr w:type="spellEnd"/>
      <w:r>
        <w:t xml:space="preserve"> for 5 days </w:t>
      </w:r>
      <w:r w:rsidR="007D3ABD">
        <w:t>±</w:t>
      </w:r>
      <w:r w:rsidR="00C237EE">
        <w:t xml:space="preserve"> </w:t>
      </w:r>
      <w:r w:rsidR="007D3ABD">
        <w:t>6 hour</w:t>
      </w:r>
      <w:r>
        <w:t>s. Document the temperature of the incubator.</w:t>
      </w:r>
    </w:p>
    <w:p w14:paraId="23E6B48D" w14:textId="77777777" w:rsidR="007D3ABD" w:rsidRPr="00A704CD" w:rsidRDefault="007D3ABD" w:rsidP="00F609CE">
      <w:pPr>
        <w:pStyle w:val="11SOP"/>
      </w:pPr>
      <w:r w:rsidRPr="00A704CD">
        <w:t>Samples Read Out</w:t>
      </w:r>
      <w:r w:rsidR="00E657FA" w:rsidRPr="00A704CD">
        <w:t xml:space="preserve"> </w:t>
      </w:r>
    </w:p>
    <w:p w14:paraId="64A9468F" w14:textId="77777777" w:rsidR="00E657FA" w:rsidRDefault="00E657FA" w:rsidP="005B48BE">
      <w:pPr>
        <w:pStyle w:val="111SOP"/>
        <w:ind w:hanging="990"/>
      </w:pPr>
      <w:r w:rsidRPr="00BC2F5D">
        <w:t>After 5 days (</w:t>
      </w:r>
      <w:r w:rsidR="007D3ABD">
        <w:rPr>
          <w:rFonts w:cs="Arial"/>
        </w:rPr>
        <w:t>±</w:t>
      </w:r>
      <w:r w:rsidRPr="00BC2F5D">
        <w:t xml:space="preserve"> 6 h</w:t>
      </w:r>
      <w:r w:rsidR="007D3ABD">
        <w:t>ou</w:t>
      </w:r>
      <w:r w:rsidRPr="00BC2F5D">
        <w:t>rs)</w:t>
      </w:r>
      <w:r w:rsidR="007D3ABD">
        <w:t>, calibrate the met</w:t>
      </w:r>
      <w:r w:rsidR="0049290E">
        <w:t>er and document cali</w:t>
      </w:r>
      <w:r w:rsidR="003A7425">
        <w:t>bration information (see “Calibration and Standardization</w:t>
      </w:r>
      <w:r w:rsidR="002B41C9">
        <w:t>”</w:t>
      </w:r>
      <w:r w:rsidR="0049290E">
        <w:t>).</w:t>
      </w:r>
    </w:p>
    <w:p w14:paraId="4D04C4C6" w14:textId="77777777" w:rsidR="00E657FA" w:rsidRDefault="00E657FA" w:rsidP="005B48BE">
      <w:pPr>
        <w:pStyle w:val="111SOP"/>
        <w:ind w:hanging="990"/>
      </w:pPr>
      <w:r>
        <w:t>Ta</w:t>
      </w:r>
      <w:r w:rsidR="007D3ABD">
        <w:t>ke samples out of the incubator and</w:t>
      </w:r>
      <w:r>
        <w:t xml:space="preserve"> document the </w:t>
      </w:r>
      <w:r w:rsidR="007D3ABD">
        <w:t>analyst initials, date</w:t>
      </w:r>
      <w:r w:rsidR="003A7425">
        <w:t>,</w:t>
      </w:r>
      <w:r w:rsidR="007D3ABD">
        <w:t xml:space="preserve"> and </w:t>
      </w:r>
      <w:r>
        <w:t>time out.</w:t>
      </w:r>
    </w:p>
    <w:p w14:paraId="4AFDBE30" w14:textId="77777777" w:rsidR="00E657FA" w:rsidRDefault="00E657FA" w:rsidP="005B48BE">
      <w:pPr>
        <w:pStyle w:val="111SOP"/>
        <w:ind w:hanging="990"/>
      </w:pPr>
      <w:r>
        <w:t xml:space="preserve">Read </w:t>
      </w:r>
      <w:r w:rsidR="002B41C9">
        <w:t xml:space="preserve">and record </w:t>
      </w:r>
      <w:r>
        <w:t xml:space="preserve">the final </w:t>
      </w:r>
      <w:proofErr w:type="spellStart"/>
      <w:r>
        <w:t>DOs</w:t>
      </w:r>
      <w:proofErr w:type="spellEnd"/>
      <w:r>
        <w:t>, making sure to rinse the probe between the sample readings.</w:t>
      </w:r>
    </w:p>
    <w:p w14:paraId="0376249D" w14:textId="77777777" w:rsidR="00A704CD" w:rsidRDefault="00A704CD" w:rsidP="00A704CD">
      <w:pPr>
        <w:pStyle w:val="11SOP"/>
      </w:pPr>
      <w:r>
        <w:t xml:space="preserve">Clean the BOD bottles by washing with hot tap water and mild non-phosphate detergent. Rinse with hot tap water until all the suds disappear then rinse with DI water.  </w:t>
      </w:r>
    </w:p>
    <w:p w14:paraId="66674119" w14:textId="77777777" w:rsidR="00F609CE" w:rsidRDefault="00F609CE" w:rsidP="00F609CE">
      <w:pPr>
        <w:pStyle w:val="10SOP"/>
      </w:pPr>
      <w:r>
        <w:t>Calculations</w:t>
      </w:r>
    </w:p>
    <w:p w14:paraId="2239406A" w14:textId="77777777" w:rsidR="001671DA" w:rsidRDefault="00556451" w:rsidP="00F609CE">
      <w:pPr>
        <w:pStyle w:val="11SOP"/>
        <w:tabs>
          <w:tab w:val="center" w:pos="3870"/>
        </w:tabs>
      </w:pPr>
      <w:r w:rsidRPr="00556451">
        <w:rPr>
          <w:b/>
          <w:i/>
        </w:rPr>
        <w:t>Unseeded</w:t>
      </w:r>
      <w:r>
        <w:t xml:space="preserve"> Samples</w:t>
      </w:r>
    </w:p>
    <w:p w14:paraId="0968DE4E" w14:textId="77777777" w:rsidR="00556451" w:rsidRDefault="00556451" w:rsidP="00556451">
      <w:pPr>
        <w:pStyle w:val="10SOP"/>
        <w:numPr>
          <w:ilvl w:val="0"/>
          <w:numId w:val="0"/>
        </w:numPr>
        <w:ind w:left="1440"/>
        <w:contextualSpacing/>
        <w:rPr>
          <w:b w:val="0"/>
        </w:rPr>
      </w:pPr>
      <w:r w:rsidRPr="00556451">
        <w:rPr>
          <w:b w:val="0"/>
        </w:rPr>
        <w:t xml:space="preserve">BOD (mg/L) = </w:t>
      </w:r>
      <w:r>
        <w:rPr>
          <w:b w:val="0"/>
        </w:rPr>
        <w:tab/>
      </w:r>
      <w:r w:rsidRPr="00556451">
        <w:rPr>
          <w:b w:val="0"/>
          <w:u w:val="single"/>
        </w:rPr>
        <w:t>volume of bottle (mL) x (</w:t>
      </w:r>
      <w:proofErr w:type="spellStart"/>
      <w:r w:rsidRPr="00556451">
        <w:rPr>
          <w:b w:val="0"/>
          <w:u w:val="single"/>
        </w:rPr>
        <w:t>IDO</w:t>
      </w:r>
      <w:proofErr w:type="spellEnd"/>
      <w:r w:rsidRPr="00556451">
        <w:rPr>
          <w:b w:val="0"/>
          <w:u w:val="single"/>
        </w:rPr>
        <w:t xml:space="preserve"> – </w:t>
      </w:r>
      <w:proofErr w:type="spellStart"/>
      <w:r w:rsidRPr="00556451">
        <w:rPr>
          <w:b w:val="0"/>
          <w:u w:val="single"/>
        </w:rPr>
        <w:t>DO</w:t>
      </w:r>
      <w:r w:rsidRPr="00556451">
        <w:rPr>
          <w:b w:val="0"/>
          <w:u w:val="single"/>
          <w:vertAlign w:val="subscript"/>
        </w:rPr>
        <w:t>5</w:t>
      </w:r>
      <w:proofErr w:type="spellEnd"/>
      <w:r w:rsidRPr="00556451">
        <w:rPr>
          <w:b w:val="0"/>
          <w:u w:val="single"/>
        </w:rPr>
        <w:t>)</w:t>
      </w:r>
    </w:p>
    <w:p w14:paraId="172507DE" w14:textId="77777777" w:rsidR="00556451" w:rsidRDefault="00556451" w:rsidP="00556451">
      <w:pPr>
        <w:pStyle w:val="10SOP"/>
        <w:numPr>
          <w:ilvl w:val="0"/>
          <w:numId w:val="0"/>
        </w:numPr>
        <w:ind w:left="1440"/>
        <w:contextualSpacing/>
        <w:rPr>
          <w:b w:val="0"/>
        </w:rPr>
      </w:pPr>
      <w:r>
        <w:rPr>
          <w:b w:val="0"/>
        </w:rPr>
        <w:tab/>
      </w:r>
      <w:r>
        <w:rPr>
          <w:b w:val="0"/>
        </w:rPr>
        <w:tab/>
      </w:r>
      <w:r>
        <w:rPr>
          <w:b w:val="0"/>
        </w:rPr>
        <w:tab/>
        <w:t>Volume of sample (mL)</w:t>
      </w:r>
    </w:p>
    <w:p w14:paraId="02AB859A" w14:textId="77777777" w:rsidR="002B41C9" w:rsidRDefault="002B41C9" w:rsidP="002B41C9">
      <w:pPr>
        <w:pStyle w:val="11SOP"/>
        <w:numPr>
          <w:ilvl w:val="0"/>
          <w:numId w:val="0"/>
        </w:numPr>
        <w:tabs>
          <w:tab w:val="left" w:pos="2340"/>
          <w:tab w:val="center" w:pos="3870"/>
        </w:tabs>
        <w:ind w:left="1440"/>
        <w:contextualSpacing/>
      </w:pPr>
      <w:r>
        <w:t xml:space="preserve">Where: </w:t>
      </w:r>
      <w:r>
        <w:tab/>
      </w:r>
      <w:proofErr w:type="spellStart"/>
      <w:r>
        <w:t>IDO</w:t>
      </w:r>
      <w:proofErr w:type="spellEnd"/>
      <w:r>
        <w:t xml:space="preserve"> = Initial DO measurement on setup day (day 0)</w:t>
      </w:r>
    </w:p>
    <w:p w14:paraId="09311008" w14:textId="77777777" w:rsidR="002B41C9" w:rsidRDefault="002B41C9" w:rsidP="002B41C9">
      <w:pPr>
        <w:pStyle w:val="11SOP"/>
        <w:numPr>
          <w:ilvl w:val="0"/>
          <w:numId w:val="0"/>
        </w:numPr>
        <w:tabs>
          <w:tab w:val="left" w:pos="2340"/>
          <w:tab w:val="center" w:pos="3870"/>
        </w:tabs>
        <w:ind w:left="1440"/>
        <w:contextualSpacing/>
      </w:pPr>
      <w:r>
        <w:tab/>
      </w:r>
      <w:proofErr w:type="spellStart"/>
      <w:r>
        <w:t>DO</w:t>
      </w:r>
      <w:r>
        <w:rPr>
          <w:vertAlign w:val="subscript"/>
        </w:rPr>
        <w:t>5</w:t>
      </w:r>
      <w:proofErr w:type="spellEnd"/>
      <w:r>
        <w:t xml:space="preserve"> = DO measurement on read out day (day 5) </w:t>
      </w:r>
    </w:p>
    <w:p w14:paraId="3A40C765" w14:textId="77777777" w:rsidR="002B41C9" w:rsidRDefault="002B41C9" w:rsidP="002B41C9">
      <w:pPr>
        <w:pStyle w:val="11SOP"/>
        <w:numPr>
          <w:ilvl w:val="0"/>
          <w:numId w:val="0"/>
        </w:numPr>
        <w:tabs>
          <w:tab w:val="left" w:pos="2340"/>
          <w:tab w:val="center" w:pos="3870"/>
        </w:tabs>
        <w:ind w:left="1440"/>
        <w:contextualSpacing/>
      </w:pPr>
    </w:p>
    <w:p w14:paraId="622E38E9" w14:textId="77777777" w:rsidR="00F609CE" w:rsidRDefault="00556451" w:rsidP="003A7425">
      <w:pPr>
        <w:pStyle w:val="11SOP"/>
        <w:tabs>
          <w:tab w:val="center" w:pos="3870"/>
        </w:tabs>
        <w:contextualSpacing/>
      </w:pPr>
      <w:r w:rsidRPr="00556451">
        <w:rPr>
          <w:b/>
          <w:i/>
        </w:rPr>
        <w:t xml:space="preserve">Seeded </w:t>
      </w:r>
      <w:r w:rsidR="001671DA">
        <w:t xml:space="preserve">Samples and </w:t>
      </w:r>
      <w:proofErr w:type="spellStart"/>
      <w:r w:rsidR="001671DA">
        <w:t>GGA</w:t>
      </w:r>
      <w:proofErr w:type="spellEnd"/>
    </w:p>
    <w:p w14:paraId="224A1B49" w14:textId="77777777" w:rsidR="00556451" w:rsidRPr="00556451" w:rsidRDefault="00556451" w:rsidP="003A7425">
      <w:pPr>
        <w:pStyle w:val="10SOP"/>
        <w:numPr>
          <w:ilvl w:val="0"/>
          <w:numId w:val="0"/>
        </w:numPr>
        <w:ind w:left="1440"/>
        <w:contextualSpacing/>
        <w:rPr>
          <w:b w:val="0"/>
        </w:rPr>
      </w:pPr>
      <w:r w:rsidRPr="00556451">
        <w:rPr>
          <w:b w:val="0"/>
        </w:rPr>
        <w:t xml:space="preserve">BOD (mg/L) = </w:t>
      </w:r>
      <w:r>
        <w:rPr>
          <w:b w:val="0"/>
        </w:rPr>
        <w:tab/>
      </w:r>
      <w:r w:rsidRPr="00556451">
        <w:rPr>
          <w:b w:val="0"/>
          <w:u w:val="single"/>
        </w:rPr>
        <w:t>volume of bottle (mL) x [(</w:t>
      </w:r>
      <w:proofErr w:type="spellStart"/>
      <w:r w:rsidRPr="00556451">
        <w:rPr>
          <w:b w:val="0"/>
          <w:u w:val="single"/>
        </w:rPr>
        <w:t>IDO</w:t>
      </w:r>
      <w:proofErr w:type="spellEnd"/>
      <w:r w:rsidRPr="00556451">
        <w:rPr>
          <w:b w:val="0"/>
          <w:u w:val="single"/>
        </w:rPr>
        <w:t xml:space="preserve"> – </w:t>
      </w:r>
      <w:proofErr w:type="spellStart"/>
      <w:r w:rsidRPr="00556451">
        <w:rPr>
          <w:b w:val="0"/>
          <w:u w:val="single"/>
        </w:rPr>
        <w:t>DO</w:t>
      </w:r>
      <w:r w:rsidRPr="00556451">
        <w:rPr>
          <w:b w:val="0"/>
          <w:u w:val="single"/>
          <w:vertAlign w:val="subscript"/>
        </w:rPr>
        <w:t>5</w:t>
      </w:r>
      <w:proofErr w:type="spellEnd"/>
      <w:r w:rsidRPr="00556451">
        <w:rPr>
          <w:b w:val="0"/>
          <w:u w:val="single"/>
        </w:rPr>
        <w:t>) – seed correction]</w:t>
      </w:r>
    </w:p>
    <w:p w14:paraId="100594CB" w14:textId="77777777" w:rsidR="00556451" w:rsidRPr="00556451" w:rsidRDefault="00556451" w:rsidP="00556451">
      <w:pPr>
        <w:pStyle w:val="10SOP"/>
        <w:numPr>
          <w:ilvl w:val="0"/>
          <w:numId w:val="0"/>
        </w:numPr>
        <w:ind w:left="3600" w:firstLine="720"/>
        <w:contextualSpacing/>
        <w:rPr>
          <w:b w:val="0"/>
        </w:rPr>
      </w:pPr>
      <w:r w:rsidRPr="00556451">
        <w:rPr>
          <w:b w:val="0"/>
        </w:rPr>
        <w:t>Volume of sample (mL)</w:t>
      </w:r>
    </w:p>
    <w:p w14:paraId="4129D7FC" w14:textId="77777777" w:rsidR="00F7640F" w:rsidRPr="00513196" w:rsidRDefault="00F7640F" w:rsidP="00385B07">
      <w:pPr>
        <w:pStyle w:val="11SOP"/>
        <w:rPr>
          <w:b/>
          <w:i/>
        </w:rPr>
      </w:pPr>
      <w:r w:rsidRPr="00513196">
        <w:rPr>
          <w:b/>
          <w:i/>
        </w:rPr>
        <w:t>Seed Correction</w:t>
      </w:r>
    </w:p>
    <w:p w14:paraId="7D4FA6C6" w14:textId="77777777" w:rsidR="00F7640F" w:rsidRDefault="003A7425" w:rsidP="00F7640F">
      <w:pPr>
        <w:pStyle w:val="11SOP"/>
        <w:numPr>
          <w:ilvl w:val="0"/>
          <w:numId w:val="0"/>
        </w:numPr>
        <w:ind w:left="1440"/>
      </w:pPr>
      <w:r>
        <w:t>S</w:t>
      </w:r>
      <w:r w:rsidR="00513196">
        <w:t xml:space="preserve">eed CF (mg/L) = Seed </w:t>
      </w:r>
      <w:proofErr w:type="spellStart"/>
      <w:r w:rsidR="00513196">
        <w:t>IDO</w:t>
      </w:r>
      <w:proofErr w:type="spellEnd"/>
      <w:r w:rsidR="00513196">
        <w:t xml:space="preserve"> – Seed </w:t>
      </w:r>
      <w:proofErr w:type="spellStart"/>
      <w:r w:rsidR="00513196">
        <w:t>DO</w:t>
      </w:r>
      <w:r w:rsidR="00513196">
        <w:rPr>
          <w:vertAlign w:val="subscript"/>
        </w:rPr>
        <w:t>5</w:t>
      </w:r>
      <w:proofErr w:type="spellEnd"/>
      <w:r w:rsidR="00513196">
        <w:t xml:space="preserve"> </w:t>
      </w:r>
      <w:r w:rsidR="007931B8">
        <w:t xml:space="preserve"> </w:t>
      </w:r>
    </w:p>
    <w:p w14:paraId="73BDFE07" w14:textId="77777777" w:rsidR="00513196" w:rsidRDefault="00513196" w:rsidP="00F7640F">
      <w:pPr>
        <w:pStyle w:val="11SOP"/>
        <w:numPr>
          <w:ilvl w:val="0"/>
          <w:numId w:val="0"/>
        </w:numPr>
        <w:ind w:left="1440"/>
      </w:pPr>
      <w:r>
        <w:t xml:space="preserve">Seed correction (mg/L) = average </w:t>
      </w:r>
      <w:r w:rsidR="003A7425">
        <w:t xml:space="preserve">Seed </w:t>
      </w:r>
      <w:r>
        <w:t>CF x volume seed used (mL)</w:t>
      </w:r>
    </w:p>
    <w:p w14:paraId="5AC7355F" w14:textId="77777777" w:rsidR="00385B07" w:rsidRDefault="00F7640F" w:rsidP="00385B07">
      <w:pPr>
        <w:pStyle w:val="11SOP"/>
      </w:pPr>
      <w:r>
        <w:t xml:space="preserve">Perform all calculations </w:t>
      </w:r>
      <w:r w:rsidR="002B41C9">
        <w:t>and record the calculated results on the bench sheet.  The DNR supplied spreadsheet may also be used to perform calculations</w:t>
      </w:r>
      <w:r w:rsidR="00385B07">
        <w:t>.</w:t>
      </w:r>
    </w:p>
    <w:p w14:paraId="27576DD5" w14:textId="77777777" w:rsidR="0049290E" w:rsidRPr="0049290E" w:rsidRDefault="00385B07" w:rsidP="00385B07">
      <w:pPr>
        <w:pStyle w:val="11SOP"/>
      </w:pPr>
      <w:r w:rsidRPr="008F5D76">
        <w:rPr>
          <w:rFonts w:cstheme="minorHAnsi"/>
        </w:rPr>
        <w:t xml:space="preserve">Average all results that meet the depletion </w:t>
      </w:r>
      <w:r>
        <w:rPr>
          <w:rFonts w:cstheme="minorHAnsi"/>
        </w:rPr>
        <w:t xml:space="preserve">(2 mg/L) and residual </w:t>
      </w:r>
      <w:r w:rsidRPr="008F5D76">
        <w:rPr>
          <w:rFonts w:cstheme="minorHAnsi"/>
        </w:rPr>
        <w:t xml:space="preserve">criteria </w:t>
      </w:r>
      <w:r w:rsidR="00F7640F">
        <w:rPr>
          <w:rFonts w:cstheme="minorHAnsi"/>
        </w:rPr>
        <w:t xml:space="preserve">(1 mg/L).  </w:t>
      </w:r>
    </w:p>
    <w:p w14:paraId="601D4291" w14:textId="77777777" w:rsidR="0049290E" w:rsidRDefault="0049290E" w:rsidP="009B2D6B">
      <w:pPr>
        <w:pStyle w:val="111SOP"/>
        <w:ind w:hanging="990"/>
      </w:pPr>
      <w:r>
        <w:lastRenderedPageBreak/>
        <w:t xml:space="preserve">If a 300 mL dilution was analyzed and the results are less than 2 mg/L, report “&lt;2 mg/L.”  See </w:t>
      </w:r>
      <w:r w:rsidR="00B067C2">
        <w:t>“</w:t>
      </w:r>
      <w:r>
        <w:t>Method Detection Limits and Reporting.</w:t>
      </w:r>
      <w:r w:rsidR="009B2D6B">
        <w:t>”</w:t>
      </w:r>
    </w:p>
    <w:p w14:paraId="5D8FABBC" w14:textId="77777777" w:rsidR="00385B07" w:rsidRDefault="0049290E" w:rsidP="009B2D6B">
      <w:pPr>
        <w:pStyle w:val="111SOP"/>
        <w:ind w:hanging="990"/>
      </w:pPr>
      <w:r>
        <w:t>I</w:t>
      </w:r>
      <w:r w:rsidR="00F7640F">
        <w:t>f all dilution</w:t>
      </w:r>
      <w:r>
        <w:t>s</w:t>
      </w:r>
      <w:r w:rsidR="00F7640F">
        <w:t xml:space="preserve"> fail,</w:t>
      </w:r>
      <w:r w:rsidR="00385B07">
        <w:t xml:space="preserve"> see </w:t>
      </w:r>
      <w:r w:rsidR="00F7640F">
        <w:t xml:space="preserve">the </w:t>
      </w:r>
      <w:r w:rsidR="00B067C2">
        <w:t>“</w:t>
      </w:r>
      <w:proofErr w:type="spellStart"/>
      <w:r w:rsidR="00F7640F">
        <w:t>WDNR</w:t>
      </w:r>
      <w:proofErr w:type="spellEnd"/>
      <w:r w:rsidR="00F7640F">
        <w:t xml:space="preserve"> BOD Reporting Protocols</w:t>
      </w:r>
      <w:r w:rsidR="00B067C2">
        <w:t>”</w:t>
      </w:r>
      <w:r w:rsidR="00F7640F">
        <w:t xml:space="preserve"> at the end of this</w:t>
      </w:r>
      <w:r w:rsidR="00385B07">
        <w:t xml:space="preserve"> </w:t>
      </w:r>
      <w:r w:rsidR="00F7640F">
        <w:t>SOP</w:t>
      </w:r>
      <w:r w:rsidR="00385B07">
        <w:t>.</w:t>
      </w:r>
    </w:p>
    <w:p w14:paraId="6BBC3D2F" w14:textId="77777777" w:rsidR="00C44E3F" w:rsidRDefault="00C44E3F" w:rsidP="00C44E3F">
      <w:pPr>
        <w:pStyle w:val="10SOP"/>
      </w:pPr>
      <w:r>
        <w:t>Method Detection Limits and Reporting</w:t>
      </w:r>
    </w:p>
    <w:p w14:paraId="2F8437E0" w14:textId="23ADF38B" w:rsidR="00C44E3F" w:rsidRDefault="0049290E" w:rsidP="00C44E3F">
      <w:pPr>
        <w:pStyle w:val="11SOP"/>
      </w:pPr>
      <w:r>
        <w:t>The method detection l</w:t>
      </w:r>
      <w:r w:rsidR="00385B07">
        <w:t>imit does not need to be determined for BOD.  This limit is defined in SM 5210</w:t>
      </w:r>
      <w:r w:rsidR="00F7640F">
        <w:t xml:space="preserve"> </w:t>
      </w:r>
      <w:r>
        <w:t>B as</w:t>
      </w:r>
      <w:r w:rsidR="00385B07">
        <w:t xml:space="preserve"> 2 mg/L.  The 2 mg/L </w:t>
      </w:r>
      <w:r>
        <w:t>reporting</w:t>
      </w:r>
      <w:r w:rsidR="00385B07">
        <w:t xml:space="preserve"> limit is based on a minimum oxygen consumption of 2 mg/L during the 5-day test period and a volume of 300 </w:t>
      </w:r>
      <w:proofErr w:type="spellStart"/>
      <w:r w:rsidR="00385B07">
        <w:t>mL.</w:t>
      </w:r>
      <w:proofErr w:type="spellEnd"/>
      <w:r w:rsidR="00385B07">
        <w:t xml:space="preserve">  This is also the reporting limit which is specified in the DNR guidance document</w:t>
      </w:r>
      <w:r w:rsidR="00F7640F">
        <w:t>,</w:t>
      </w:r>
      <w:r w:rsidR="00385B07">
        <w:t xml:space="preserve"> “Recommendations of the BOD LOD Technical Group 12/17/99.” The reporting limit is i</w:t>
      </w:r>
      <w:r w:rsidR="00F7640F">
        <w:t>ncreased by the dilution factor;</w:t>
      </w:r>
      <w:r w:rsidR="00385B07">
        <w:t xml:space="preserve"> </w:t>
      </w:r>
      <w:r w:rsidR="008E5B2F">
        <w:t xml:space="preserve">for example, </w:t>
      </w:r>
      <w:r w:rsidR="00385B07">
        <w:t xml:space="preserve">if 150 mL of sample is used, then the </w:t>
      </w:r>
      <w:proofErr w:type="spellStart"/>
      <w:r w:rsidR="00385B07">
        <w:t>RL</w:t>
      </w:r>
      <w:proofErr w:type="spellEnd"/>
      <w:r w:rsidR="00385B07">
        <w:t xml:space="preserve"> is 4 mg/L. Use the dilution factor of the largest sample volume to determine the reporting level.</w:t>
      </w:r>
    </w:p>
    <w:p w14:paraId="7E605354" w14:textId="77777777" w:rsidR="007A5407" w:rsidRDefault="00801635" w:rsidP="00C44E3F">
      <w:pPr>
        <w:pStyle w:val="11SOP"/>
      </w:pPr>
      <w:r>
        <w:t>If all dilutions fail, refer to the “</w:t>
      </w:r>
      <w:proofErr w:type="spellStart"/>
      <w:r>
        <w:t>WDNR</w:t>
      </w:r>
      <w:proofErr w:type="spellEnd"/>
      <w:r>
        <w:t xml:space="preserve"> BOD Reporting Protocols” at the end of this SOP.</w:t>
      </w:r>
    </w:p>
    <w:p w14:paraId="5069BE3E" w14:textId="77777777" w:rsidR="00F609CE" w:rsidRDefault="00B02DAF" w:rsidP="00F609CE">
      <w:pPr>
        <w:pStyle w:val="10SOP"/>
      </w:pPr>
      <w:r>
        <w:t>QC Data Assessment, Acceptance Criteria, and Corrective Actions and Contingencies for Out-of-Control QC Measures</w:t>
      </w:r>
    </w:p>
    <w:p w14:paraId="03B42CC4" w14:textId="77777777" w:rsidR="00653317" w:rsidRDefault="00653317" w:rsidP="00F609CE">
      <w:pPr>
        <w:pStyle w:val="11SOP"/>
      </w:pPr>
      <w:r>
        <w:t>Quality control samples</w:t>
      </w:r>
      <w:r w:rsidR="000F03D3">
        <w:t xml:space="preserve"> summary</w:t>
      </w:r>
      <w:r>
        <w:t>:</w:t>
      </w:r>
    </w:p>
    <w:tbl>
      <w:tblPr>
        <w:tblStyle w:val="TableGrid"/>
        <w:tblW w:w="0" w:type="auto"/>
        <w:tblInd w:w="1525" w:type="dxa"/>
        <w:tblLook w:val="04A0" w:firstRow="1" w:lastRow="0" w:firstColumn="1" w:lastColumn="0" w:noHBand="0" w:noVBand="1"/>
      </w:tblPr>
      <w:tblGrid>
        <w:gridCol w:w="2484"/>
        <w:gridCol w:w="2484"/>
      </w:tblGrid>
      <w:tr w:rsidR="00653317" w14:paraId="59FBBDE7" w14:textId="77777777" w:rsidTr="000F0A5D">
        <w:tc>
          <w:tcPr>
            <w:tcW w:w="2484" w:type="dxa"/>
            <w:shd w:val="clear" w:color="auto" w:fill="BFBFBF" w:themeFill="background1" w:themeFillShade="BF"/>
            <w:vAlign w:val="center"/>
          </w:tcPr>
          <w:p w14:paraId="3225FF52" w14:textId="77777777" w:rsidR="00653317" w:rsidRDefault="00653317" w:rsidP="000F0A5D">
            <w:pPr>
              <w:pStyle w:val="BodyTextIndent"/>
              <w:ind w:left="0"/>
              <w:jc w:val="center"/>
              <w:rPr>
                <w:szCs w:val="22"/>
              </w:rPr>
            </w:pPr>
            <w:r>
              <w:rPr>
                <w:szCs w:val="22"/>
              </w:rPr>
              <w:t>QC Test</w:t>
            </w:r>
          </w:p>
        </w:tc>
        <w:tc>
          <w:tcPr>
            <w:tcW w:w="2484" w:type="dxa"/>
            <w:shd w:val="clear" w:color="auto" w:fill="BFBFBF" w:themeFill="background1" w:themeFillShade="BF"/>
            <w:vAlign w:val="center"/>
          </w:tcPr>
          <w:p w14:paraId="76C0B564" w14:textId="77777777" w:rsidR="00653317" w:rsidRDefault="00653317" w:rsidP="000F0A5D">
            <w:pPr>
              <w:pStyle w:val="BodyTextIndent"/>
              <w:ind w:left="0"/>
              <w:jc w:val="center"/>
              <w:rPr>
                <w:szCs w:val="22"/>
              </w:rPr>
            </w:pPr>
            <w:r>
              <w:rPr>
                <w:szCs w:val="22"/>
              </w:rPr>
              <w:t>Criteria</w:t>
            </w:r>
          </w:p>
        </w:tc>
      </w:tr>
      <w:tr w:rsidR="00653317" w14:paraId="6BBFC045" w14:textId="77777777" w:rsidTr="000F0A5D">
        <w:tc>
          <w:tcPr>
            <w:tcW w:w="2484" w:type="dxa"/>
            <w:vAlign w:val="center"/>
          </w:tcPr>
          <w:p w14:paraId="29B13B6F" w14:textId="77777777" w:rsidR="00653317" w:rsidRDefault="00653317" w:rsidP="000F0A5D">
            <w:pPr>
              <w:pStyle w:val="BodyTextIndent"/>
              <w:ind w:left="0"/>
              <w:jc w:val="center"/>
              <w:rPr>
                <w:szCs w:val="22"/>
              </w:rPr>
            </w:pPr>
            <w:r>
              <w:rPr>
                <w:szCs w:val="22"/>
              </w:rPr>
              <w:t>Method Blank</w:t>
            </w:r>
          </w:p>
        </w:tc>
        <w:tc>
          <w:tcPr>
            <w:tcW w:w="2484" w:type="dxa"/>
            <w:vAlign w:val="center"/>
          </w:tcPr>
          <w:p w14:paraId="0F41D61D" w14:textId="77777777" w:rsidR="00653317" w:rsidRDefault="00653317" w:rsidP="000F0A5D">
            <w:pPr>
              <w:pStyle w:val="BodyTextIndent"/>
              <w:ind w:left="0"/>
              <w:jc w:val="center"/>
              <w:rPr>
                <w:szCs w:val="22"/>
              </w:rPr>
            </w:pPr>
            <w:r>
              <w:rPr>
                <w:rFonts w:cs="Arial"/>
                <w:szCs w:val="22"/>
              </w:rPr>
              <w:t>≤ 0.24 mg/L</w:t>
            </w:r>
          </w:p>
        </w:tc>
      </w:tr>
      <w:tr w:rsidR="00653317" w14:paraId="3E76CB4D" w14:textId="77777777" w:rsidTr="000F0A5D">
        <w:tc>
          <w:tcPr>
            <w:tcW w:w="2484" w:type="dxa"/>
            <w:vAlign w:val="center"/>
          </w:tcPr>
          <w:p w14:paraId="363FF793" w14:textId="77777777" w:rsidR="00653317" w:rsidRDefault="00653317" w:rsidP="000F0A5D">
            <w:pPr>
              <w:pStyle w:val="BodyTextIndent"/>
              <w:ind w:left="0"/>
              <w:jc w:val="center"/>
              <w:rPr>
                <w:szCs w:val="22"/>
              </w:rPr>
            </w:pPr>
            <w:r>
              <w:rPr>
                <w:szCs w:val="22"/>
              </w:rPr>
              <w:t>LCS (</w:t>
            </w:r>
            <w:proofErr w:type="spellStart"/>
            <w:r>
              <w:rPr>
                <w:szCs w:val="22"/>
              </w:rPr>
              <w:t>GGA</w:t>
            </w:r>
            <w:proofErr w:type="spellEnd"/>
            <w:r>
              <w:rPr>
                <w:szCs w:val="22"/>
              </w:rPr>
              <w:t>)</w:t>
            </w:r>
          </w:p>
        </w:tc>
        <w:tc>
          <w:tcPr>
            <w:tcW w:w="2484" w:type="dxa"/>
            <w:vAlign w:val="center"/>
          </w:tcPr>
          <w:p w14:paraId="4F099A71" w14:textId="77777777" w:rsidR="00653317" w:rsidRDefault="00653317" w:rsidP="000F0A5D">
            <w:pPr>
              <w:pStyle w:val="BodyTextIndent"/>
              <w:ind w:left="0"/>
              <w:jc w:val="center"/>
              <w:rPr>
                <w:szCs w:val="22"/>
              </w:rPr>
            </w:pPr>
            <w:r>
              <w:rPr>
                <w:szCs w:val="22"/>
              </w:rPr>
              <w:t>167.5 – 228.5 mg/L</w:t>
            </w:r>
          </w:p>
        </w:tc>
      </w:tr>
    </w:tbl>
    <w:p w14:paraId="6E62122D" w14:textId="77777777" w:rsidR="00653317" w:rsidRDefault="00653317" w:rsidP="00653317">
      <w:pPr>
        <w:pStyle w:val="11SOP"/>
        <w:numPr>
          <w:ilvl w:val="0"/>
          <w:numId w:val="0"/>
        </w:numPr>
        <w:ind w:left="1440"/>
      </w:pPr>
    </w:p>
    <w:p w14:paraId="436033F2" w14:textId="77777777" w:rsidR="000F03D3" w:rsidRDefault="000F03D3" w:rsidP="000F03D3">
      <w:pPr>
        <w:pStyle w:val="11SOP"/>
      </w:pPr>
      <w:r>
        <w:t xml:space="preserve">Method blank results must be ≤0.24 mg/L.  If results are greater than the limit, qualify results on the eDMR.  Complete the corrective action log documentation.  </w:t>
      </w:r>
      <w:r>
        <w:rPr>
          <w:rFonts w:cs="Arial"/>
          <w:szCs w:val="22"/>
        </w:rPr>
        <w:t xml:space="preserve"> </w:t>
      </w:r>
      <w:r>
        <w:t xml:space="preserve"> </w:t>
      </w:r>
    </w:p>
    <w:p w14:paraId="5CB59E75" w14:textId="77777777" w:rsidR="007A5407" w:rsidRDefault="007A5407" w:rsidP="00F609CE">
      <w:pPr>
        <w:pStyle w:val="11SOP"/>
      </w:pPr>
      <w:proofErr w:type="spellStart"/>
      <w:r>
        <w:t>GGA</w:t>
      </w:r>
      <w:proofErr w:type="spellEnd"/>
      <w:r>
        <w:t xml:space="preserve"> results must be in the range of </w:t>
      </w:r>
      <w:r w:rsidRPr="0002243B">
        <w:t xml:space="preserve">198 </w:t>
      </w:r>
      <w:r>
        <w:rPr>
          <w:rFonts w:cs="Arial"/>
        </w:rPr>
        <w:t>±</w:t>
      </w:r>
      <w:r w:rsidRPr="0002243B">
        <w:t xml:space="preserve"> 30.5</w:t>
      </w:r>
      <w:r w:rsidRPr="00233AA1">
        <w:rPr>
          <w:b/>
        </w:rPr>
        <w:t xml:space="preserve"> </w:t>
      </w:r>
      <w:r>
        <w:t xml:space="preserve">mg/L (167.5 – 228.5 mg/L).  If not within the acceptable range, qualify results on the eDMR and repeat the </w:t>
      </w:r>
      <w:proofErr w:type="spellStart"/>
      <w:r>
        <w:t>GGA</w:t>
      </w:r>
      <w:proofErr w:type="spellEnd"/>
      <w:r>
        <w:t xml:space="preserve"> the next time BOD analyses are performed.  Complete the corrective action log documentation.</w:t>
      </w:r>
      <w:r w:rsidR="000F03D3">
        <w:t xml:space="preserve">  </w:t>
      </w:r>
    </w:p>
    <w:p w14:paraId="3E8CDCA6" w14:textId="77777777" w:rsidR="00B02DAF" w:rsidRPr="00C320B8" w:rsidRDefault="00B02DAF" w:rsidP="00C320B8">
      <w:pPr>
        <w:pStyle w:val="11SOP"/>
      </w:pPr>
      <w:r>
        <w:t>Re-analyzing is not practical for BOD due to the holding time being less than the time required for the completion of the test.</w:t>
      </w:r>
    </w:p>
    <w:p w14:paraId="3CF9A698" w14:textId="77777777" w:rsidR="00B02DAF" w:rsidRDefault="00B02DAF" w:rsidP="000F03D3">
      <w:pPr>
        <w:pStyle w:val="11SOP"/>
      </w:pPr>
      <w:r>
        <w:t xml:space="preserve">Qualify all BOD results with blank or </w:t>
      </w:r>
      <w:proofErr w:type="spellStart"/>
      <w:r>
        <w:t>GGA</w:t>
      </w:r>
      <w:proofErr w:type="spellEnd"/>
      <w:r>
        <w:t xml:space="preserve"> exceedances on the bench sheet and the eDMR.</w:t>
      </w:r>
    </w:p>
    <w:p w14:paraId="5078EA56" w14:textId="77777777" w:rsidR="00B02DAF" w:rsidRDefault="00B02DAF" w:rsidP="005B48BE">
      <w:pPr>
        <w:pStyle w:val="111SOP"/>
        <w:ind w:hanging="990"/>
      </w:pPr>
      <w:r>
        <w:t xml:space="preserve">Samples that fail the Quality Control will have to be qualified back to the last date that the quality control met the above conditions.  Include a lab comment on the </w:t>
      </w:r>
      <w:proofErr w:type="spellStart"/>
      <w:r>
        <w:t>DMR</w:t>
      </w:r>
      <w:proofErr w:type="spellEnd"/>
      <w:r>
        <w:t>.</w:t>
      </w:r>
    </w:p>
    <w:p w14:paraId="49C2CC45" w14:textId="77777777" w:rsidR="00B067C2" w:rsidRDefault="00B067C2" w:rsidP="00F609CE">
      <w:pPr>
        <w:pStyle w:val="11SOP"/>
      </w:pPr>
      <w:r>
        <w:t>If all dilutions fail to meet depletion and residual criteria then set up more dilutions the next time.</w:t>
      </w:r>
    </w:p>
    <w:p w14:paraId="5123438A" w14:textId="77777777" w:rsidR="00F609CE" w:rsidRDefault="00801635" w:rsidP="00F609CE">
      <w:pPr>
        <w:pStyle w:val="11SOP"/>
      </w:pPr>
      <w:bookmarkStart w:id="1" w:name="_Hlk513464223"/>
      <w:r>
        <w:t>The Proficiency Testing (PT</w:t>
      </w:r>
      <w:r w:rsidR="00F609CE">
        <w:t>) sample must be within the criteria of the provider. If the criteria limits are not met, the technician must immediately order another sample to be analyzed.</w:t>
      </w:r>
      <w:bookmarkEnd w:id="1"/>
    </w:p>
    <w:p w14:paraId="50E2E21E" w14:textId="77777777" w:rsidR="000F03D3" w:rsidRDefault="00E1499E" w:rsidP="00C320B8">
      <w:pPr>
        <w:pStyle w:val="11SOP"/>
      </w:pPr>
      <w:r>
        <w:lastRenderedPageBreak/>
        <w:t>For any of the above items or if there are any other obvious errors or deviations from the standard operating conditions,</w:t>
      </w:r>
      <w:r w:rsidR="00370A84">
        <w:t xml:space="preserve"> comp</w:t>
      </w:r>
      <w:r w:rsidR="00C320B8">
        <w:t>lete the Corrective Actions Log and resolve the problem.</w:t>
      </w:r>
      <w:r w:rsidR="000F03D3" w:rsidRPr="000F03D3">
        <w:t xml:space="preserve"> </w:t>
      </w:r>
      <w:r w:rsidR="003A7B2C">
        <w:t xml:space="preserve"> Notify the Supervisor.</w:t>
      </w:r>
    </w:p>
    <w:p w14:paraId="2B0982B3" w14:textId="77777777" w:rsidR="00F609CE" w:rsidRDefault="00D3020F" w:rsidP="005B48BE">
      <w:pPr>
        <w:pStyle w:val="111SOP"/>
        <w:ind w:hanging="990"/>
      </w:pPr>
      <w:r>
        <w:t xml:space="preserve">If results are unacceptable, take appropriate corrective action. </w:t>
      </w:r>
      <w:r w:rsidR="000F03D3">
        <w:t>This may include replacing the DO probe membrane, replacing the probe, acid washing all containers, checking the water source, checking expiration dates, and documenting any changes or adjustments made.</w:t>
      </w:r>
    </w:p>
    <w:p w14:paraId="26E7D2CA" w14:textId="77777777" w:rsidR="00B02DAF" w:rsidRDefault="00B02DAF" w:rsidP="005B48BE">
      <w:pPr>
        <w:pStyle w:val="111SOP"/>
        <w:ind w:hanging="990"/>
      </w:pPr>
      <w:r>
        <w:t>Complete the Corrective Actions in the log sheets. Enter in all information as completely as possible, even if the short-term reasons for failures are not clear.</w:t>
      </w:r>
    </w:p>
    <w:p w14:paraId="268E46FB" w14:textId="77777777" w:rsidR="00B02DAF" w:rsidRDefault="00B02DAF" w:rsidP="00B02DAF">
      <w:pPr>
        <w:pStyle w:val="111SOP"/>
        <w:ind w:hanging="990"/>
      </w:pPr>
      <w:r>
        <w:t>Seek help from an outside source if specific QC issues cannot be resolved.  These sources may be another lab, the Wisconsin Rural Water Association wastewater trainer, or the facility’s lab auditor.</w:t>
      </w:r>
    </w:p>
    <w:p w14:paraId="3B45DC7B" w14:textId="77777777" w:rsidR="000F03D3" w:rsidRDefault="000F03D3" w:rsidP="00B02DAF">
      <w:pPr>
        <w:pStyle w:val="111SOP"/>
        <w:ind w:hanging="990"/>
      </w:pPr>
      <w:r>
        <w:t xml:space="preserve">Extensive troubleshooting information can be found </w:t>
      </w:r>
      <w:hyperlink r:id="rId7" w:history="1">
        <w:r w:rsidRPr="007F6DA2">
          <w:rPr>
            <w:rStyle w:val="Hyperlink"/>
          </w:rPr>
          <w:t>http://dnr.wi.gov/regulations/labcert/Resources.html</w:t>
        </w:r>
      </w:hyperlink>
    </w:p>
    <w:p w14:paraId="02283799" w14:textId="77777777" w:rsidR="000B7F23" w:rsidRDefault="000B7F23" w:rsidP="000B7F23">
      <w:pPr>
        <w:pStyle w:val="10SOP"/>
      </w:pPr>
      <w:r>
        <w:t>Pollution Prevention</w:t>
      </w:r>
    </w:p>
    <w:p w14:paraId="5BE9A50C" w14:textId="77777777" w:rsidR="000B7F23" w:rsidRDefault="000B7F23" w:rsidP="000B7F23">
      <w:pPr>
        <w:pStyle w:val="11SOP"/>
      </w:pPr>
      <w:r>
        <w:rPr>
          <w:snapToGrid w:val="0"/>
        </w:rPr>
        <w:t>Consider environmental impact when purchasing materials, handling chemicals, and disposing of wastes.</w:t>
      </w:r>
    </w:p>
    <w:p w14:paraId="2D6DAD9B" w14:textId="77777777" w:rsidR="000B7F23" w:rsidRDefault="000B7F23" w:rsidP="000B7F23">
      <w:pPr>
        <w:pStyle w:val="11SOP"/>
      </w:pPr>
      <w:r>
        <w:rPr>
          <w:snapToGrid w:val="0"/>
        </w:rPr>
        <w:t>Prevent pollution at the source whenever possible.</w:t>
      </w:r>
    </w:p>
    <w:p w14:paraId="63A9E188" w14:textId="77777777" w:rsidR="00F609CE" w:rsidRDefault="00F609CE" w:rsidP="00F609CE">
      <w:pPr>
        <w:pStyle w:val="10SOP"/>
      </w:pPr>
      <w:r>
        <w:t>Waste Management</w:t>
      </w:r>
    </w:p>
    <w:p w14:paraId="073E1087" w14:textId="77777777" w:rsidR="00F609CE" w:rsidRDefault="00AE6BC8" w:rsidP="00F609CE">
      <w:pPr>
        <w:pStyle w:val="11SOP"/>
      </w:pPr>
      <w:bookmarkStart w:id="2" w:name="_Hlk519082865"/>
      <w:r>
        <w:t>All laboratory waste, excess reagents, and samples must be disposed of in a manner that is consistent with applicable rules and regulations</w:t>
      </w:r>
      <w:r w:rsidR="00F609CE">
        <w:t>.</w:t>
      </w:r>
      <w:bookmarkEnd w:id="2"/>
    </w:p>
    <w:p w14:paraId="730CB0A7" w14:textId="77777777" w:rsidR="00D715D0" w:rsidRDefault="00F609CE" w:rsidP="00D715D0">
      <w:pPr>
        <w:pStyle w:val="10SOP"/>
      </w:pPr>
      <w:r>
        <w:t>References</w:t>
      </w:r>
    </w:p>
    <w:p w14:paraId="48E1FDEA" w14:textId="77777777" w:rsidR="00C320B8" w:rsidRDefault="00C320B8" w:rsidP="00D715D0">
      <w:pPr>
        <w:pStyle w:val="11SOP"/>
      </w:pPr>
      <w:r>
        <w:t>Standard Methods for the Examination of W</w:t>
      </w:r>
      <w:r w:rsidR="00653317">
        <w:t>ater and Wastewater, Method 5210</w:t>
      </w:r>
      <w:r w:rsidR="0060430D">
        <w:t xml:space="preserve"> </w:t>
      </w:r>
      <w:r w:rsidR="00653317">
        <w:t>B, 2001</w:t>
      </w:r>
      <w:r>
        <w:t>.</w:t>
      </w:r>
    </w:p>
    <w:p w14:paraId="20D6CE9B" w14:textId="77777777" w:rsidR="00653317" w:rsidRDefault="00653317" w:rsidP="00D715D0">
      <w:pPr>
        <w:pStyle w:val="11SOP"/>
      </w:pPr>
      <w:r>
        <w:t xml:space="preserve">Recommendations of the BOD LOD Technical Group 12/17/99. </w:t>
      </w:r>
      <w:hyperlink r:id="rId8" w:history="1">
        <w:r w:rsidRPr="007F6DA2">
          <w:rPr>
            <w:rStyle w:val="Hyperlink"/>
          </w:rPr>
          <w:t>http://www.dnr.state.wi.us/org/es/science/lc/Outreach/3Guid/-LOD4BOD&amp;TSS.pdf</w:t>
        </w:r>
      </w:hyperlink>
    </w:p>
    <w:p w14:paraId="6BC0C68E" w14:textId="77777777" w:rsidR="00653317" w:rsidRDefault="00653317" w:rsidP="00D715D0">
      <w:pPr>
        <w:pStyle w:val="11SOP"/>
      </w:pPr>
      <w:r>
        <w:t xml:space="preserve">Ultimate BOD Resource. </w:t>
      </w:r>
      <w:hyperlink r:id="rId9" w:history="1">
        <w:r w:rsidRPr="007F6DA2">
          <w:rPr>
            <w:rStyle w:val="Hyperlink"/>
          </w:rPr>
          <w:t>http://www.dnr.state.wi.us/org/es/science/lc/OUTREACH/BODresource/Index.html</w:t>
        </w:r>
      </w:hyperlink>
    </w:p>
    <w:p w14:paraId="5D8E22E8" w14:textId="77777777" w:rsidR="00653317" w:rsidRDefault="00653317" w:rsidP="00D715D0">
      <w:pPr>
        <w:pStyle w:val="11SOP"/>
      </w:pPr>
      <w:r>
        <w:t xml:space="preserve">Low </w:t>
      </w:r>
      <w:proofErr w:type="spellStart"/>
      <w:r>
        <w:t>GGA</w:t>
      </w:r>
      <w:proofErr w:type="spellEnd"/>
      <w:r>
        <w:t xml:space="preserve"> results:  Alternative to the use of commercially prepared BOD seeds. Revision 1, February, 2014. Wisconsin Department of Natural Resources, Laboratory Certification Program.</w:t>
      </w:r>
    </w:p>
    <w:p w14:paraId="30DDF8B9" w14:textId="77777777" w:rsidR="00B44E36" w:rsidRPr="00F969CC" w:rsidRDefault="00B44E36" w:rsidP="00B44E36">
      <w:pPr>
        <w:pStyle w:val="10SOP"/>
      </w:pPr>
      <w:bookmarkStart w:id="3" w:name="_Hlk513536358"/>
      <w:r>
        <w:t>Disclaimer</w:t>
      </w:r>
      <w:r w:rsidRPr="00F969CC">
        <w:t xml:space="preserve"> </w:t>
      </w:r>
    </w:p>
    <w:p w14:paraId="4E9B8DE6" w14:textId="77777777" w:rsidR="00B44E36" w:rsidRPr="00182C12" w:rsidRDefault="00B44E36" w:rsidP="00B44E36">
      <w:pPr>
        <w:pStyle w:val="11SOP"/>
        <w:rPr>
          <w:b/>
        </w:rPr>
      </w:pPr>
      <w:r w:rsidRPr="00182C12">
        <w:t>The mentioning of company or product names does not constitute endorsement by the Wisconsin Department of Natural Resources or the authors.</w:t>
      </w:r>
    </w:p>
    <w:bookmarkEnd w:id="3"/>
    <w:p w14:paraId="409F8F57" w14:textId="77777777" w:rsidR="00F609CE" w:rsidRDefault="00F609CE" w:rsidP="00653317">
      <w:pPr>
        <w:pStyle w:val="11SOP"/>
        <w:numPr>
          <w:ilvl w:val="0"/>
          <w:numId w:val="0"/>
        </w:numPr>
      </w:pPr>
    </w:p>
    <w:p w14:paraId="444ACDD4" w14:textId="77777777" w:rsidR="00414824" w:rsidRPr="00B25A21" w:rsidRDefault="00414824" w:rsidP="00414824">
      <w:pPr>
        <w:jc w:val="center"/>
        <w:rPr>
          <w:b/>
          <w:sz w:val="28"/>
          <w:szCs w:val="28"/>
          <w:u w:val="single"/>
        </w:rPr>
      </w:pPr>
      <w:r w:rsidRPr="00B25A21">
        <w:rPr>
          <w:b/>
          <w:sz w:val="28"/>
          <w:szCs w:val="28"/>
          <w:u w:val="single"/>
        </w:rPr>
        <w:t>BOD Reporting Protocols when all dilutions fail method criteria</w:t>
      </w:r>
      <w:r w:rsidRPr="00B25A21">
        <w:rPr>
          <w:sz w:val="16"/>
          <w:szCs w:val="16"/>
        </w:rPr>
        <w:t xml:space="preserve"> </w:t>
      </w:r>
      <w:r w:rsidRPr="00B25A21">
        <w:rPr>
          <w:sz w:val="12"/>
          <w:szCs w:val="12"/>
        </w:rPr>
        <w:t xml:space="preserve">[version </w:t>
      </w:r>
      <w:r>
        <w:rPr>
          <w:sz w:val="12"/>
          <w:szCs w:val="12"/>
        </w:rPr>
        <w:t>9</w:t>
      </w:r>
      <w:r w:rsidRPr="00B25A21">
        <w:rPr>
          <w:sz w:val="12"/>
          <w:szCs w:val="12"/>
        </w:rPr>
        <w:t>/</w:t>
      </w:r>
      <w:r>
        <w:rPr>
          <w:sz w:val="12"/>
          <w:szCs w:val="12"/>
        </w:rPr>
        <w:t>18</w:t>
      </w:r>
      <w:r w:rsidRPr="00B25A21">
        <w:rPr>
          <w:sz w:val="12"/>
          <w:szCs w:val="12"/>
        </w:rPr>
        <w:t>/</w:t>
      </w:r>
      <w:r>
        <w:rPr>
          <w:sz w:val="12"/>
          <w:szCs w:val="12"/>
        </w:rPr>
        <w:t>19</w:t>
      </w:r>
      <w:r w:rsidRPr="00B25A21">
        <w:rPr>
          <w:sz w:val="12"/>
          <w:szCs w:val="12"/>
        </w:rPr>
        <w:t>]</w:t>
      </w:r>
    </w:p>
    <w:p w14:paraId="04C713F6" w14:textId="77777777" w:rsidR="00414824" w:rsidRDefault="00414824" w:rsidP="00414824"/>
    <w:p w14:paraId="645584F4" w14:textId="77777777" w:rsidR="00414824" w:rsidRPr="008F564A" w:rsidRDefault="00414824" w:rsidP="00414824">
      <w:pPr>
        <w:rPr>
          <w:sz w:val="20"/>
          <w:szCs w:val="20"/>
        </w:rPr>
      </w:pPr>
      <w:r w:rsidRPr="008F564A">
        <w:rPr>
          <w:sz w:val="20"/>
          <w:szCs w:val="20"/>
        </w:rPr>
        <w:t>BOD method criteria for dilutions</w:t>
      </w:r>
    </w:p>
    <w:p w14:paraId="3FDA7482" w14:textId="77777777" w:rsidR="00414824" w:rsidRPr="008F564A" w:rsidRDefault="00414824" w:rsidP="00414824">
      <w:pPr>
        <w:numPr>
          <w:ilvl w:val="0"/>
          <w:numId w:val="10"/>
        </w:numPr>
        <w:rPr>
          <w:sz w:val="20"/>
          <w:szCs w:val="20"/>
        </w:rPr>
      </w:pPr>
      <w:r w:rsidRPr="008F564A">
        <w:rPr>
          <w:sz w:val="20"/>
          <w:szCs w:val="20"/>
        </w:rPr>
        <w:t>At least 2.0 mg/L DO depletion</w:t>
      </w:r>
    </w:p>
    <w:p w14:paraId="3AB48056" w14:textId="77777777" w:rsidR="00414824" w:rsidRPr="008F564A" w:rsidRDefault="00414824" w:rsidP="00414824">
      <w:pPr>
        <w:numPr>
          <w:ilvl w:val="0"/>
          <w:numId w:val="10"/>
        </w:numPr>
        <w:rPr>
          <w:sz w:val="20"/>
          <w:szCs w:val="20"/>
        </w:rPr>
      </w:pPr>
      <w:r w:rsidRPr="008F564A">
        <w:rPr>
          <w:sz w:val="20"/>
          <w:szCs w:val="20"/>
        </w:rPr>
        <w:t>At least 1.0 mg/L residual DO</w:t>
      </w:r>
    </w:p>
    <w:p w14:paraId="39AC264E" w14:textId="77777777" w:rsidR="00414824" w:rsidRDefault="00414824" w:rsidP="00414824"/>
    <w:p w14:paraId="1C46479E" w14:textId="77777777" w:rsidR="00414824" w:rsidRPr="00B25A21" w:rsidRDefault="00414824" w:rsidP="00414824">
      <w:pPr>
        <w:rPr>
          <w:u w:val="single"/>
        </w:rPr>
      </w:pPr>
      <w:r w:rsidRPr="00B25A21">
        <w:rPr>
          <w:u w:val="single"/>
        </w:rPr>
        <w:t xml:space="preserve">Case 1 – All dilutions under-deplete (less than </w:t>
      </w:r>
      <w:r>
        <w:rPr>
          <w:u w:val="single"/>
        </w:rPr>
        <w:t xml:space="preserve">a </w:t>
      </w:r>
      <w:r w:rsidRPr="00B25A21">
        <w:rPr>
          <w:u w:val="single"/>
        </w:rPr>
        <w:t>2.0 mg/L DO change from initial to final</w:t>
      </w:r>
      <w:r>
        <w:rPr>
          <w:u w:val="single"/>
        </w:rPr>
        <w:t xml:space="preserve"> DO reading</w:t>
      </w:r>
      <w:r w:rsidRPr="00B25A21">
        <w:rPr>
          <w:u w:val="single"/>
        </w:rPr>
        <w:t>)</w:t>
      </w:r>
    </w:p>
    <w:p w14:paraId="4F36449A" w14:textId="77777777" w:rsidR="00414824" w:rsidRPr="008F564A" w:rsidRDefault="00414824" w:rsidP="00414824">
      <w:pPr>
        <w:rPr>
          <w:sz w:val="20"/>
          <w:szCs w:val="20"/>
        </w:rPr>
      </w:pPr>
    </w:p>
    <w:p w14:paraId="6FF2975E" w14:textId="77777777" w:rsidR="00414824" w:rsidRPr="008F564A" w:rsidRDefault="00414824" w:rsidP="00414824">
      <w:pPr>
        <w:numPr>
          <w:ilvl w:val="0"/>
          <w:numId w:val="11"/>
        </w:numPr>
        <w:rPr>
          <w:sz w:val="20"/>
          <w:szCs w:val="20"/>
        </w:rPr>
      </w:pPr>
      <w:r>
        <w:rPr>
          <w:sz w:val="20"/>
          <w:szCs w:val="20"/>
        </w:rPr>
        <w:t>In this case</w:t>
      </w:r>
      <w:r w:rsidRPr="008F564A">
        <w:rPr>
          <w:sz w:val="20"/>
          <w:szCs w:val="20"/>
        </w:rPr>
        <w:t xml:space="preserve"> you determine the reportable BOD result using the dilution with the largest sample volume.</w:t>
      </w:r>
    </w:p>
    <w:p w14:paraId="48A5DFAB" w14:textId="77777777" w:rsidR="00414824" w:rsidRPr="008F564A" w:rsidRDefault="00414824" w:rsidP="00414824">
      <w:pPr>
        <w:numPr>
          <w:ilvl w:val="0"/>
          <w:numId w:val="11"/>
        </w:numPr>
        <w:rPr>
          <w:sz w:val="20"/>
          <w:szCs w:val="20"/>
        </w:rPr>
      </w:pPr>
      <w:r w:rsidRPr="008F564A">
        <w:rPr>
          <w:sz w:val="20"/>
          <w:szCs w:val="20"/>
        </w:rPr>
        <w:t>Assume a 2.0 mg/L DO change (even though it didn’t really happen – the method requires that we use the 2.0 mg/L minimum).</w:t>
      </w:r>
    </w:p>
    <w:p w14:paraId="1E8279F7" w14:textId="77777777" w:rsidR="00414824" w:rsidRPr="008F564A" w:rsidRDefault="00414824" w:rsidP="00414824">
      <w:pPr>
        <w:numPr>
          <w:ilvl w:val="0"/>
          <w:numId w:val="11"/>
        </w:numPr>
        <w:rPr>
          <w:sz w:val="20"/>
          <w:szCs w:val="20"/>
        </w:rPr>
      </w:pPr>
      <w:r w:rsidRPr="008F564A">
        <w:rPr>
          <w:sz w:val="20"/>
          <w:szCs w:val="20"/>
        </w:rPr>
        <w:t>Report the result</w:t>
      </w:r>
      <w:r>
        <w:rPr>
          <w:sz w:val="20"/>
          <w:szCs w:val="20"/>
        </w:rPr>
        <w:t xml:space="preserve"> as a less than ( </w:t>
      </w:r>
      <w:r w:rsidRPr="008F564A">
        <w:rPr>
          <w:sz w:val="20"/>
          <w:szCs w:val="20"/>
        </w:rPr>
        <w:t>&lt;</w:t>
      </w:r>
      <w:r>
        <w:rPr>
          <w:sz w:val="20"/>
          <w:szCs w:val="20"/>
        </w:rPr>
        <w:t xml:space="preserve"> ).</w:t>
      </w:r>
    </w:p>
    <w:p w14:paraId="0E8DC037" w14:textId="77777777" w:rsidR="00414824" w:rsidRDefault="00414824" w:rsidP="00414824">
      <w:pPr>
        <w:numPr>
          <w:ilvl w:val="0"/>
          <w:numId w:val="11"/>
        </w:numPr>
        <w:rPr>
          <w:sz w:val="20"/>
          <w:szCs w:val="20"/>
        </w:rPr>
      </w:pPr>
      <w:r w:rsidRPr="008F564A">
        <w:rPr>
          <w:sz w:val="20"/>
          <w:szCs w:val="20"/>
        </w:rPr>
        <w:t>Qualify the result indicat</w:t>
      </w:r>
      <w:r>
        <w:rPr>
          <w:sz w:val="20"/>
          <w:szCs w:val="20"/>
        </w:rPr>
        <w:t>ing</w:t>
      </w:r>
      <w:r w:rsidRPr="008F564A">
        <w:rPr>
          <w:sz w:val="20"/>
          <w:szCs w:val="20"/>
        </w:rPr>
        <w:t xml:space="preserve"> that all dilutions under-depleted.</w:t>
      </w:r>
    </w:p>
    <w:p w14:paraId="6F13BC65" w14:textId="77777777" w:rsidR="00414824" w:rsidRPr="008F564A" w:rsidRDefault="00414824" w:rsidP="00414824">
      <w:pPr>
        <w:numPr>
          <w:ilvl w:val="0"/>
          <w:numId w:val="11"/>
        </w:numPr>
        <w:rPr>
          <w:sz w:val="20"/>
          <w:szCs w:val="20"/>
        </w:rPr>
      </w:pPr>
      <w:r>
        <w:rPr>
          <w:sz w:val="20"/>
          <w:szCs w:val="20"/>
        </w:rPr>
        <w:t xml:space="preserve">If this happens often you need to increase your sample volume to 300 </w:t>
      </w:r>
      <w:proofErr w:type="spellStart"/>
      <w:r>
        <w:rPr>
          <w:sz w:val="20"/>
          <w:szCs w:val="20"/>
        </w:rPr>
        <w:t>mL.</w:t>
      </w:r>
      <w:proofErr w:type="spellEnd"/>
    </w:p>
    <w:p w14:paraId="632F544B" w14:textId="77777777" w:rsidR="00414824" w:rsidRPr="008F564A" w:rsidRDefault="00414824" w:rsidP="00414824">
      <w:pPr>
        <w:rPr>
          <w:sz w:val="20"/>
          <w:szCs w:val="20"/>
        </w:rPr>
      </w:pPr>
    </w:p>
    <w:p w14:paraId="29C1A6C7" w14:textId="77777777" w:rsidR="00414824" w:rsidRPr="008F564A" w:rsidRDefault="00414824" w:rsidP="00414824">
      <w:pPr>
        <w:rPr>
          <w:sz w:val="20"/>
          <w:szCs w:val="20"/>
        </w:rPr>
      </w:pPr>
      <w:r w:rsidRPr="008F564A">
        <w:rPr>
          <w:sz w:val="20"/>
          <w:szCs w:val="20"/>
        </w:rPr>
        <w:t>Example:</w:t>
      </w:r>
    </w:p>
    <w:p w14:paraId="0527D87E" w14:textId="77777777" w:rsidR="00414824" w:rsidRDefault="00414824" w:rsidP="00414824"/>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9"/>
        <w:gridCol w:w="1723"/>
        <w:gridCol w:w="1729"/>
        <w:gridCol w:w="1727"/>
      </w:tblGrid>
      <w:tr w:rsidR="00414824" w14:paraId="543B1037" w14:textId="77777777" w:rsidTr="001B7474">
        <w:tc>
          <w:tcPr>
            <w:tcW w:w="1771" w:type="dxa"/>
            <w:shd w:val="clear" w:color="auto" w:fill="FFFF99"/>
            <w:vAlign w:val="center"/>
          </w:tcPr>
          <w:p w14:paraId="64A91617" w14:textId="77777777" w:rsidR="00414824" w:rsidRPr="00992D28" w:rsidRDefault="00414824" w:rsidP="001B7474">
            <w:pPr>
              <w:jc w:val="center"/>
              <w:rPr>
                <w:sz w:val="20"/>
                <w:szCs w:val="20"/>
              </w:rPr>
            </w:pPr>
            <w:r w:rsidRPr="00992D28">
              <w:rPr>
                <w:sz w:val="20"/>
                <w:szCs w:val="20"/>
              </w:rPr>
              <w:t>Sample Volume (mL)</w:t>
            </w:r>
          </w:p>
        </w:tc>
        <w:tc>
          <w:tcPr>
            <w:tcW w:w="1771" w:type="dxa"/>
            <w:shd w:val="clear" w:color="auto" w:fill="FFFF99"/>
            <w:vAlign w:val="center"/>
          </w:tcPr>
          <w:p w14:paraId="45C152A9" w14:textId="77777777" w:rsidR="00414824" w:rsidRPr="00992D28" w:rsidRDefault="00414824" w:rsidP="001B7474">
            <w:pPr>
              <w:jc w:val="center"/>
              <w:rPr>
                <w:sz w:val="20"/>
                <w:szCs w:val="20"/>
              </w:rPr>
            </w:pPr>
            <w:r w:rsidRPr="00992D28">
              <w:rPr>
                <w:sz w:val="20"/>
                <w:szCs w:val="20"/>
              </w:rPr>
              <w:t>DO Depletion (mg/L)</w:t>
            </w:r>
          </w:p>
        </w:tc>
        <w:tc>
          <w:tcPr>
            <w:tcW w:w="1771" w:type="dxa"/>
            <w:shd w:val="clear" w:color="auto" w:fill="FFFF99"/>
            <w:vAlign w:val="center"/>
          </w:tcPr>
          <w:p w14:paraId="248D0339" w14:textId="77777777" w:rsidR="00414824" w:rsidRPr="00992D28" w:rsidRDefault="00414824" w:rsidP="001B7474">
            <w:pPr>
              <w:jc w:val="center"/>
              <w:rPr>
                <w:sz w:val="20"/>
                <w:szCs w:val="20"/>
              </w:rPr>
            </w:pPr>
            <w:r w:rsidRPr="00992D28">
              <w:rPr>
                <w:sz w:val="20"/>
                <w:szCs w:val="20"/>
              </w:rPr>
              <w:t>Which dilution to use (largest volume)</w:t>
            </w:r>
          </w:p>
        </w:tc>
        <w:tc>
          <w:tcPr>
            <w:tcW w:w="1771" w:type="dxa"/>
            <w:shd w:val="clear" w:color="auto" w:fill="FFFF99"/>
            <w:vAlign w:val="center"/>
          </w:tcPr>
          <w:p w14:paraId="50C175C7" w14:textId="77777777" w:rsidR="00414824" w:rsidRPr="00992D28" w:rsidRDefault="00414824" w:rsidP="001B7474">
            <w:pPr>
              <w:jc w:val="center"/>
              <w:rPr>
                <w:sz w:val="20"/>
                <w:szCs w:val="20"/>
              </w:rPr>
            </w:pPr>
            <w:r w:rsidRPr="00992D28">
              <w:rPr>
                <w:sz w:val="20"/>
                <w:szCs w:val="20"/>
              </w:rPr>
              <w:t>Assumed DO Depletion (mg/L)</w:t>
            </w:r>
          </w:p>
        </w:tc>
        <w:tc>
          <w:tcPr>
            <w:tcW w:w="1772" w:type="dxa"/>
            <w:shd w:val="clear" w:color="auto" w:fill="FFFF99"/>
            <w:vAlign w:val="center"/>
          </w:tcPr>
          <w:p w14:paraId="28D0257E" w14:textId="77777777" w:rsidR="00414824" w:rsidRPr="00992D28" w:rsidRDefault="00414824" w:rsidP="001B7474">
            <w:pPr>
              <w:jc w:val="center"/>
              <w:rPr>
                <w:sz w:val="20"/>
                <w:szCs w:val="20"/>
              </w:rPr>
            </w:pPr>
            <w:r w:rsidRPr="00992D28">
              <w:rPr>
                <w:sz w:val="20"/>
                <w:szCs w:val="20"/>
              </w:rPr>
              <w:t>Reported BOD result (mg/L)</w:t>
            </w:r>
          </w:p>
        </w:tc>
      </w:tr>
      <w:tr w:rsidR="00414824" w14:paraId="374F1C68" w14:textId="77777777" w:rsidTr="001B7474">
        <w:tc>
          <w:tcPr>
            <w:tcW w:w="1771" w:type="dxa"/>
            <w:shd w:val="clear" w:color="auto" w:fill="auto"/>
            <w:vAlign w:val="center"/>
          </w:tcPr>
          <w:p w14:paraId="78E9E5B8" w14:textId="77777777" w:rsidR="00414824" w:rsidRPr="00992D28" w:rsidRDefault="00414824" w:rsidP="001B7474">
            <w:pPr>
              <w:jc w:val="center"/>
              <w:rPr>
                <w:sz w:val="20"/>
                <w:szCs w:val="20"/>
              </w:rPr>
            </w:pPr>
            <w:r w:rsidRPr="00992D28">
              <w:rPr>
                <w:sz w:val="20"/>
                <w:szCs w:val="20"/>
              </w:rPr>
              <w:t>25</w:t>
            </w:r>
          </w:p>
        </w:tc>
        <w:tc>
          <w:tcPr>
            <w:tcW w:w="1771" w:type="dxa"/>
            <w:shd w:val="clear" w:color="auto" w:fill="auto"/>
            <w:vAlign w:val="center"/>
          </w:tcPr>
          <w:p w14:paraId="401EB895" w14:textId="77777777" w:rsidR="00414824" w:rsidRPr="00992D28" w:rsidRDefault="00414824" w:rsidP="001B7474">
            <w:pPr>
              <w:jc w:val="center"/>
              <w:rPr>
                <w:sz w:val="20"/>
                <w:szCs w:val="20"/>
              </w:rPr>
            </w:pPr>
            <w:r w:rsidRPr="00992D28">
              <w:rPr>
                <w:sz w:val="20"/>
                <w:szCs w:val="20"/>
              </w:rPr>
              <w:t>0.3</w:t>
            </w:r>
          </w:p>
        </w:tc>
        <w:tc>
          <w:tcPr>
            <w:tcW w:w="1771" w:type="dxa"/>
            <w:shd w:val="clear" w:color="auto" w:fill="auto"/>
            <w:vAlign w:val="center"/>
          </w:tcPr>
          <w:p w14:paraId="759C05F7" w14:textId="77777777" w:rsidR="00414824" w:rsidRPr="00992D28" w:rsidRDefault="00414824" w:rsidP="001B7474">
            <w:pPr>
              <w:jc w:val="center"/>
              <w:rPr>
                <w:sz w:val="20"/>
                <w:szCs w:val="20"/>
              </w:rPr>
            </w:pPr>
          </w:p>
        </w:tc>
        <w:tc>
          <w:tcPr>
            <w:tcW w:w="1771" w:type="dxa"/>
            <w:shd w:val="clear" w:color="auto" w:fill="auto"/>
            <w:vAlign w:val="center"/>
          </w:tcPr>
          <w:p w14:paraId="7D9DCCC3" w14:textId="77777777" w:rsidR="00414824" w:rsidRPr="00992D28" w:rsidRDefault="00414824" w:rsidP="001B7474">
            <w:pPr>
              <w:jc w:val="center"/>
              <w:rPr>
                <w:sz w:val="20"/>
                <w:szCs w:val="20"/>
              </w:rPr>
            </w:pPr>
          </w:p>
        </w:tc>
        <w:tc>
          <w:tcPr>
            <w:tcW w:w="1772" w:type="dxa"/>
            <w:vMerge w:val="restart"/>
            <w:shd w:val="clear" w:color="auto" w:fill="auto"/>
            <w:vAlign w:val="center"/>
          </w:tcPr>
          <w:p w14:paraId="29C554BE" w14:textId="77777777" w:rsidR="00414824" w:rsidRPr="00992D28" w:rsidRDefault="00414824" w:rsidP="001B7474">
            <w:pPr>
              <w:jc w:val="center"/>
              <w:rPr>
                <w:sz w:val="20"/>
                <w:szCs w:val="20"/>
              </w:rPr>
            </w:pPr>
            <w:r w:rsidRPr="00992D28">
              <w:rPr>
                <w:sz w:val="20"/>
                <w:szCs w:val="20"/>
              </w:rPr>
              <w:t>2.0 mg/L * 300 mL/200 mL</w:t>
            </w:r>
          </w:p>
          <w:p w14:paraId="1250D943" w14:textId="77777777" w:rsidR="00414824" w:rsidRPr="00992D28" w:rsidRDefault="00414824" w:rsidP="001B7474">
            <w:pPr>
              <w:jc w:val="center"/>
              <w:rPr>
                <w:sz w:val="20"/>
                <w:szCs w:val="20"/>
              </w:rPr>
            </w:pPr>
          </w:p>
          <w:p w14:paraId="42ABA9D2" w14:textId="77777777" w:rsidR="00414824" w:rsidRPr="00992D28" w:rsidRDefault="00414824" w:rsidP="001B7474">
            <w:pPr>
              <w:jc w:val="center"/>
              <w:rPr>
                <w:sz w:val="20"/>
                <w:szCs w:val="20"/>
              </w:rPr>
            </w:pPr>
          </w:p>
          <w:p w14:paraId="4E9EA5E5" w14:textId="77777777" w:rsidR="00414824" w:rsidRPr="00992D28" w:rsidRDefault="00414824" w:rsidP="001B7474">
            <w:pPr>
              <w:jc w:val="center"/>
              <w:rPr>
                <w:sz w:val="20"/>
                <w:szCs w:val="20"/>
              </w:rPr>
            </w:pPr>
            <w:r w:rsidRPr="00992D28">
              <w:rPr>
                <w:sz w:val="20"/>
                <w:szCs w:val="20"/>
              </w:rPr>
              <w:t>&lt; 3.0 mg/L</w:t>
            </w:r>
          </w:p>
        </w:tc>
      </w:tr>
      <w:tr w:rsidR="00414824" w14:paraId="377BA635" w14:textId="77777777" w:rsidTr="001B7474">
        <w:tc>
          <w:tcPr>
            <w:tcW w:w="1771" w:type="dxa"/>
            <w:shd w:val="clear" w:color="auto" w:fill="auto"/>
            <w:vAlign w:val="center"/>
          </w:tcPr>
          <w:p w14:paraId="71018FEE" w14:textId="77777777" w:rsidR="00414824" w:rsidRPr="00992D28" w:rsidRDefault="00414824" w:rsidP="001B7474">
            <w:pPr>
              <w:jc w:val="center"/>
              <w:rPr>
                <w:sz w:val="20"/>
                <w:szCs w:val="20"/>
              </w:rPr>
            </w:pPr>
            <w:r w:rsidRPr="00992D28">
              <w:rPr>
                <w:sz w:val="20"/>
                <w:szCs w:val="20"/>
              </w:rPr>
              <w:t>50</w:t>
            </w:r>
          </w:p>
        </w:tc>
        <w:tc>
          <w:tcPr>
            <w:tcW w:w="1771" w:type="dxa"/>
            <w:shd w:val="clear" w:color="auto" w:fill="auto"/>
            <w:vAlign w:val="center"/>
          </w:tcPr>
          <w:p w14:paraId="63FB889B" w14:textId="77777777" w:rsidR="00414824" w:rsidRPr="00992D28" w:rsidRDefault="00414824" w:rsidP="001B7474">
            <w:pPr>
              <w:jc w:val="center"/>
              <w:rPr>
                <w:sz w:val="20"/>
                <w:szCs w:val="20"/>
              </w:rPr>
            </w:pPr>
            <w:r w:rsidRPr="00992D28">
              <w:rPr>
                <w:sz w:val="20"/>
                <w:szCs w:val="20"/>
              </w:rPr>
              <w:t>0.9</w:t>
            </w:r>
          </w:p>
        </w:tc>
        <w:tc>
          <w:tcPr>
            <w:tcW w:w="1771" w:type="dxa"/>
            <w:shd w:val="clear" w:color="auto" w:fill="auto"/>
            <w:vAlign w:val="center"/>
          </w:tcPr>
          <w:p w14:paraId="43B498EC" w14:textId="77777777" w:rsidR="00414824" w:rsidRPr="00992D28" w:rsidRDefault="00414824" w:rsidP="001B7474">
            <w:pPr>
              <w:jc w:val="center"/>
              <w:rPr>
                <w:sz w:val="20"/>
                <w:szCs w:val="20"/>
              </w:rPr>
            </w:pPr>
          </w:p>
        </w:tc>
        <w:tc>
          <w:tcPr>
            <w:tcW w:w="1771" w:type="dxa"/>
            <w:shd w:val="clear" w:color="auto" w:fill="auto"/>
            <w:vAlign w:val="center"/>
          </w:tcPr>
          <w:p w14:paraId="025B5DD2" w14:textId="77777777" w:rsidR="00414824" w:rsidRPr="00992D28" w:rsidRDefault="00414824" w:rsidP="001B7474">
            <w:pPr>
              <w:jc w:val="center"/>
              <w:rPr>
                <w:sz w:val="20"/>
                <w:szCs w:val="20"/>
              </w:rPr>
            </w:pPr>
          </w:p>
        </w:tc>
        <w:tc>
          <w:tcPr>
            <w:tcW w:w="1772" w:type="dxa"/>
            <w:vMerge/>
            <w:shd w:val="clear" w:color="auto" w:fill="auto"/>
            <w:vAlign w:val="center"/>
          </w:tcPr>
          <w:p w14:paraId="062AEABA" w14:textId="77777777" w:rsidR="00414824" w:rsidRPr="00992D28" w:rsidRDefault="00414824" w:rsidP="001B7474">
            <w:pPr>
              <w:jc w:val="center"/>
              <w:rPr>
                <w:sz w:val="20"/>
                <w:szCs w:val="20"/>
              </w:rPr>
            </w:pPr>
          </w:p>
        </w:tc>
      </w:tr>
      <w:tr w:rsidR="00414824" w14:paraId="1FE35CF1" w14:textId="77777777" w:rsidTr="001B7474">
        <w:tc>
          <w:tcPr>
            <w:tcW w:w="1771" w:type="dxa"/>
            <w:shd w:val="clear" w:color="auto" w:fill="auto"/>
            <w:vAlign w:val="center"/>
          </w:tcPr>
          <w:p w14:paraId="1DA41869" w14:textId="77777777" w:rsidR="00414824" w:rsidRPr="00992D28" w:rsidRDefault="00414824" w:rsidP="001B7474">
            <w:pPr>
              <w:jc w:val="center"/>
              <w:rPr>
                <w:sz w:val="20"/>
                <w:szCs w:val="20"/>
              </w:rPr>
            </w:pPr>
            <w:r w:rsidRPr="00992D28">
              <w:rPr>
                <w:sz w:val="20"/>
                <w:szCs w:val="20"/>
              </w:rPr>
              <w:t>100</w:t>
            </w:r>
          </w:p>
        </w:tc>
        <w:tc>
          <w:tcPr>
            <w:tcW w:w="1771" w:type="dxa"/>
            <w:shd w:val="clear" w:color="auto" w:fill="auto"/>
            <w:vAlign w:val="center"/>
          </w:tcPr>
          <w:p w14:paraId="3B49448B" w14:textId="77777777" w:rsidR="00414824" w:rsidRPr="00992D28" w:rsidRDefault="00414824" w:rsidP="001B7474">
            <w:pPr>
              <w:jc w:val="center"/>
              <w:rPr>
                <w:sz w:val="20"/>
                <w:szCs w:val="20"/>
              </w:rPr>
            </w:pPr>
            <w:r w:rsidRPr="00992D28">
              <w:rPr>
                <w:sz w:val="20"/>
                <w:szCs w:val="20"/>
              </w:rPr>
              <w:t>1.3</w:t>
            </w:r>
          </w:p>
        </w:tc>
        <w:tc>
          <w:tcPr>
            <w:tcW w:w="1771" w:type="dxa"/>
            <w:shd w:val="clear" w:color="auto" w:fill="auto"/>
            <w:vAlign w:val="center"/>
          </w:tcPr>
          <w:p w14:paraId="04D75E85" w14:textId="77777777" w:rsidR="00414824" w:rsidRPr="00992D28" w:rsidRDefault="00414824" w:rsidP="001B7474">
            <w:pPr>
              <w:jc w:val="center"/>
              <w:rPr>
                <w:sz w:val="20"/>
                <w:szCs w:val="20"/>
              </w:rPr>
            </w:pPr>
          </w:p>
        </w:tc>
        <w:tc>
          <w:tcPr>
            <w:tcW w:w="1771" w:type="dxa"/>
            <w:shd w:val="clear" w:color="auto" w:fill="auto"/>
            <w:vAlign w:val="center"/>
          </w:tcPr>
          <w:p w14:paraId="5551B582" w14:textId="77777777" w:rsidR="00414824" w:rsidRPr="00992D28" w:rsidRDefault="00414824" w:rsidP="001B7474">
            <w:pPr>
              <w:jc w:val="center"/>
              <w:rPr>
                <w:sz w:val="20"/>
                <w:szCs w:val="20"/>
              </w:rPr>
            </w:pPr>
          </w:p>
        </w:tc>
        <w:tc>
          <w:tcPr>
            <w:tcW w:w="1772" w:type="dxa"/>
            <w:vMerge/>
            <w:shd w:val="clear" w:color="auto" w:fill="auto"/>
            <w:vAlign w:val="center"/>
          </w:tcPr>
          <w:p w14:paraId="3AAD27F9" w14:textId="77777777" w:rsidR="00414824" w:rsidRPr="00992D28" w:rsidRDefault="00414824" w:rsidP="001B7474">
            <w:pPr>
              <w:jc w:val="center"/>
              <w:rPr>
                <w:sz w:val="20"/>
                <w:szCs w:val="20"/>
              </w:rPr>
            </w:pPr>
          </w:p>
        </w:tc>
      </w:tr>
      <w:tr w:rsidR="00414824" w14:paraId="6C60FC9F" w14:textId="77777777" w:rsidTr="001B7474">
        <w:tc>
          <w:tcPr>
            <w:tcW w:w="1771" w:type="dxa"/>
            <w:shd w:val="clear" w:color="auto" w:fill="auto"/>
            <w:vAlign w:val="center"/>
          </w:tcPr>
          <w:p w14:paraId="70714916" w14:textId="77777777" w:rsidR="00414824" w:rsidRPr="00992D28" w:rsidRDefault="00414824" w:rsidP="001B7474">
            <w:pPr>
              <w:jc w:val="center"/>
              <w:rPr>
                <w:sz w:val="20"/>
                <w:szCs w:val="20"/>
              </w:rPr>
            </w:pPr>
            <w:r w:rsidRPr="00992D28">
              <w:rPr>
                <w:sz w:val="20"/>
                <w:szCs w:val="20"/>
              </w:rPr>
              <w:t>150</w:t>
            </w:r>
          </w:p>
        </w:tc>
        <w:tc>
          <w:tcPr>
            <w:tcW w:w="1771" w:type="dxa"/>
            <w:shd w:val="clear" w:color="auto" w:fill="auto"/>
            <w:vAlign w:val="center"/>
          </w:tcPr>
          <w:p w14:paraId="450DD265" w14:textId="77777777" w:rsidR="00414824" w:rsidRPr="00992D28" w:rsidRDefault="00414824" w:rsidP="001B7474">
            <w:pPr>
              <w:jc w:val="center"/>
              <w:rPr>
                <w:sz w:val="20"/>
                <w:szCs w:val="20"/>
              </w:rPr>
            </w:pPr>
            <w:r w:rsidRPr="00992D28">
              <w:rPr>
                <w:sz w:val="20"/>
                <w:szCs w:val="20"/>
              </w:rPr>
              <w:t>1.6</w:t>
            </w:r>
          </w:p>
        </w:tc>
        <w:tc>
          <w:tcPr>
            <w:tcW w:w="1771" w:type="dxa"/>
            <w:shd w:val="clear" w:color="auto" w:fill="auto"/>
            <w:vAlign w:val="center"/>
          </w:tcPr>
          <w:p w14:paraId="3E4D3AD8" w14:textId="77777777" w:rsidR="00414824" w:rsidRPr="00992D28" w:rsidRDefault="00414824" w:rsidP="001B7474">
            <w:pPr>
              <w:jc w:val="center"/>
              <w:rPr>
                <w:sz w:val="20"/>
                <w:szCs w:val="20"/>
              </w:rPr>
            </w:pPr>
          </w:p>
        </w:tc>
        <w:tc>
          <w:tcPr>
            <w:tcW w:w="1771" w:type="dxa"/>
            <w:shd w:val="clear" w:color="auto" w:fill="auto"/>
            <w:vAlign w:val="center"/>
          </w:tcPr>
          <w:p w14:paraId="33D73541" w14:textId="77777777" w:rsidR="00414824" w:rsidRPr="00992D28" w:rsidRDefault="00414824" w:rsidP="001B7474">
            <w:pPr>
              <w:jc w:val="center"/>
              <w:rPr>
                <w:sz w:val="20"/>
                <w:szCs w:val="20"/>
              </w:rPr>
            </w:pPr>
          </w:p>
        </w:tc>
        <w:tc>
          <w:tcPr>
            <w:tcW w:w="1772" w:type="dxa"/>
            <w:vMerge/>
            <w:shd w:val="clear" w:color="auto" w:fill="auto"/>
            <w:vAlign w:val="center"/>
          </w:tcPr>
          <w:p w14:paraId="6222CEB6" w14:textId="77777777" w:rsidR="00414824" w:rsidRPr="00992D28" w:rsidRDefault="00414824" w:rsidP="001B7474">
            <w:pPr>
              <w:jc w:val="center"/>
              <w:rPr>
                <w:sz w:val="20"/>
                <w:szCs w:val="20"/>
              </w:rPr>
            </w:pPr>
          </w:p>
        </w:tc>
      </w:tr>
      <w:tr w:rsidR="00414824" w14:paraId="5E42C249" w14:textId="77777777" w:rsidTr="001B7474">
        <w:tc>
          <w:tcPr>
            <w:tcW w:w="1771" w:type="dxa"/>
            <w:shd w:val="clear" w:color="auto" w:fill="auto"/>
            <w:vAlign w:val="center"/>
          </w:tcPr>
          <w:p w14:paraId="5FC85E2A" w14:textId="77777777" w:rsidR="00414824" w:rsidRPr="00992D28" w:rsidRDefault="00414824" w:rsidP="001B7474">
            <w:pPr>
              <w:jc w:val="center"/>
              <w:rPr>
                <w:sz w:val="20"/>
                <w:szCs w:val="20"/>
              </w:rPr>
            </w:pPr>
            <w:r w:rsidRPr="00992D28">
              <w:rPr>
                <w:sz w:val="20"/>
                <w:szCs w:val="20"/>
              </w:rPr>
              <w:t>200</w:t>
            </w:r>
          </w:p>
        </w:tc>
        <w:tc>
          <w:tcPr>
            <w:tcW w:w="1771" w:type="dxa"/>
            <w:shd w:val="clear" w:color="auto" w:fill="auto"/>
            <w:vAlign w:val="center"/>
          </w:tcPr>
          <w:p w14:paraId="24D15B95" w14:textId="77777777" w:rsidR="00414824" w:rsidRPr="00992D28" w:rsidRDefault="00414824" w:rsidP="001B7474">
            <w:pPr>
              <w:jc w:val="center"/>
              <w:rPr>
                <w:sz w:val="20"/>
                <w:szCs w:val="20"/>
              </w:rPr>
            </w:pPr>
            <w:r w:rsidRPr="00992D28">
              <w:rPr>
                <w:sz w:val="20"/>
                <w:szCs w:val="20"/>
              </w:rPr>
              <w:t>1.8</w:t>
            </w:r>
          </w:p>
        </w:tc>
        <w:tc>
          <w:tcPr>
            <w:tcW w:w="1771" w:type="dxa"/>
            <w:shd w:val="clear" w:color="auto" w:fill="auto"/>
            <w:vAlign w:val="center"/>
          </w:tcPr>
          <w:p w14:paraId="0EB3334E" w14:textId="77777777" w:rsidR="00414824" w:rsidRPr="00992D28" w:rsidRDefault="00414824" w:rsidP="001B7474">
            <w:pPr>
              <w:jc w:val="center"/>
              <w:rPr>
                <w:sz w:val="20"/>
                <w:szCs w:val="20"/>
              </w:rPr>
            </w:pPr>
            <w:r w:rsidRPr="00992D28">
              <w:rPr>
                <w:sz w:val="20"/>
                <w:szCs w:val="20"/>
              </w:rPr>
              <w:t>Pick this one</w:t>
            </w:r>
          </w:p>
        </w:tc>
        <w:tc>
          <w:tcPr>
            <w:tcW w:w="1771" w:type="dxa"/>
            <w:shd w:val="clear" w:color="auto" w:fill="auto"/>
            <w:vAlign w:val="center"/>
          </w:tcPr>
          <w:p w14:paraId="0BC3F874" w14:textId="77777777" w:rsidR="00414824" w:rsidRPr="00992D28" w:rsidRDefault="00414824" w:rsidP="001B7474">
            <w:pPr>
              <w:jc w:val="center"/>
              <w:rPr>
                <w:sz w:val="20"/>
                <w:szCs w:val="20"/>
              </w:rPr>
            </w:pPr>
            <w:r w:rsidRPr="00992D28">
              <w:rPr>
                <w:sz w:val="20"/>
                <w:szCs w:val="20"/>
              </w:rPr>
              <w:t>2.0</w:t>
            </w:r>
          </w:p>
        </w:tc>
        <w:tc>
          <w:tcPr>
            <w:tcW w:w="1772" w:type="dxa"/>
            <w:vMerge/>
            <w:shd w:val="clear" w:color="auto" w:fill="auto"/>
            <w:vAlign w:val="center"/>
          </w:tcPr>
          <w:p w14:paraId="781F27B2" w14:textId="77777777" w:rsidR="00414824" w:rsidRPr="00992D28" w:rsidRDefault="00414824" w:rsidP="001B7474">
            <w:pPr>
              <w:jc w:val="center"/>
              <w:rPr>
                <w:sz w:val="20"/>
                <w:szCs w:val="20"/>
              </w:rPr>
            </w:pPr>
          </w:p>
        </w:tc>
      </w:tr>
    </w:tbl>
    <w:p w14:paraId="422456A4" w14:textId="77777777" w:rsidR="00414824" w:rsidRDefault="00414824" w:rsidP="00414824"/>
    <w:p w14:paraId="071CAF8B" w14:textId="77777777" w:rsidR="00414824" w:rsidRPr="002D1F25" w:rsidRDefault="00414824" w:rsidP="00414824">
      <w:pPr>
        <w:rPr>
          <w:u w:val="single"/>
        </w:rPr>
      </w:pPr>
      <w:r w:rsidRPr="002D1F25">
        <w:rPr>
          <w:u w:val="single"/>
        </w:rPr>
        <w:t>Case 2 – All dilutions over-deplete (less than 1.0 mg/L DO residual)</w:t>
      </w:r>
    </w:p>
    <w:p w14:paraId="7287126D" w14:textId="77777777" w:rsidR="00414824" w:rsidRPr="008F564A" w:rsidRDefault="00414824" w:rsidP="00414824">
      <w:pPr>
        <w:rPr>
          <w:sz w:val="20"/>
          <w:szCs w:val="20"/>
        </w:rPr>
      </w:pPr>
    </w:p>
    <w:p w14:paraId="42DAE2DF" w14:textId="77777777" w:rsidR="00414824" w:rsidRPr="008F564A" w:rsidRDefault="00414824" w:rsidP="00414824">
      <w:pPr>
        <w:numPr>
          <w:ilvl w:val="0"/>
          <w:numId w:val="11"/>
        </w:numPr>
        <w:rPr>
          <w:sz w:val="20"/>
          <w:szCs w:val="20"/>
        </w:rPr>
      </w:pPr>
      <w:r>
        <w:rPr>
          <w:sz w:val="20"/>
          <w:szCs w:val="20"/>
        </w:rPr>
        <w:t>In this case</w:t>
      </w:r>
      <w:r w:rsidRPr="008F564A">
        <w:rPr>
          <w:sz w:val="20"/>
          <w:szCs w:val="20"/>
        </w:rPr>
        <w:t xml:space="preserve"> you </w:t>
      </w:r>
      <w:r>
        <w:rPr>
          <w:sz w:val="20"/>
          <w:szCs w:val="20"/>
        </w:rPr>
        <w:t>d</w:t>
      </w:r>
      <w:r w:rsidRPr="008F564A">
        <w:rPr>
          <w:sz w:val="20"/>
          <w:szCs w:val="20"/>
        </w:rPr>
        <w:t>etermine the reportable BOD result usi</w:t>
      </w:r>
      <w:r>
        <w:rPr>
          <w:sz w:val="20"/>
          <w:szCs w:val="20"/>
        </w:rPr>
        <w:t>ng the dilution with the highest residual DO</w:t>
      </w:r>
      <w:r w:rsidRPr="008F564A">
        <w:rPr>
          <w:sz w:val="20"/>
          <w:szCs w:val="20"/>
        </w:rPr>
        <w:t>.</w:t>
      </w:r>
    </w:p>
    <w:p w14:paraId="623E67D7" w14:textId="77777777" w:rsidR="00414824" w:rsidRPr="008F564A" w:rsidRDefault="00414824" w:rsidP="00414824">
      <w:pPr>
        <w:numPr>
          <w:ilvl w:val="0"/>
          <w:numId w:val="11"/>
        </w:numPr>
        <w:rPr>
          <w:sz w:val="20"/>
          <w:szCs w:val="20"/>
        </w:rPr>
      </w:pPr>
      <w:r w:rsidRPr="008F564A">
        <w:rPr>
          <w:sz w:val="20"/>
          <w:szCs w:val="20"/>
        </w:rPr>
        <w:t>Report the re</w:t>
      </w:r>
      <w:r>
        <w:rPr>
          <w:sz w:val="20"/>
          <w:szCs w:val="20"/>
        </w:rPr>
        <w:t>sult as a greater than ( &gt; ).</w:t>
      </w:r>
    </w:p>
    <w:p w14:paraId="0F22935A" w14:textId="77777777" w:rsidR="00414824" w:rsidRDefault="00414824" w:rsidP="00414824">
      <w:pPr>
        <w:numPr>
          <w:ilvl w:val="0"/>
          <w:numId w:val="11"/>
        </w:numPr>
        <w:rPr>
          <w:sz w:val="20"/>
          <w:szCs w:val="20"/>
        </w:rPr>
      </w:pPr>
      <w:r w:rsidRPr="008F564A">
        <w:rPr>
          <w:sz w:val="20"/>
          <w:szCs w:val="20"/>
        </w:rPr>
        <w:t>Qualify the result in</w:t>
      </w:r>
      <w:r>
        <w:rPr>
          <w:sz w:val="20"/>
          <w:szCs w:val="20"/>
        </w:rPr>
        <w:t>dicating that all dilutions over</w:t>
      </w:r>
      <w:r w:rsidRPr="008F564A">
        <w:rPr>
          <w:sz w:val="20"/>
          <w:szCs w:val="20"/>
        </w:rPr>
        <w:t>-depleted.</w:t>
      </w:r>
    </w:p>
    <w:p w14:paraId="3C7B9AEB" w14:textId="77777777" w:rsidR="00414824" w:rsidRPr="008F564A" w:rsidRDefault="00414824" w:rsidP="00414824">
      <w:pPr>
        <w:numPr>
          <w:ilvl w:val="0"/>
          <w:numId w:val="11"/>
        </w:numPr>
        <w:rPr>
          <w:sz w:val="20"/>
          <w:szCs w:val="20"/>
        </w:rPr>
      </w:pPr>
      <w:r>
        <w:rPr>
          <w:sz w:val="20"/>
          <w:szCs w:val="20"/>
        </w:rPr>
        <w:t>If this happens often you need to decrease your sample volume.</w:t>
      </w:r>
    </w:p>
    <w:p w14:paraId="6CF2FE30" w14:textId="77777777" w:rsidR="00414824" w:rsidRPr="008F564A" w:rsidRDefault="00414824" w:rsidP="00414824">
      <w:pPr>
        <w:rPr>
          <w:sz w:val="20"/>
          <w:szCs w:val="20"/>
        </w:rPr>
      </w:pPr>
    </w:p>
    <w:p w14:paraId="410E68F4" w14:textId="77777777" w:rsidR="00414824" w:rsidRPr="008F564A" w:rsidRDefault="00414824" w:rsidP="00414824">
      <w:pPr>
        <w:rPr>
          <w:sz w:val="20"/>
          <w:szCs w:val="20"/>
        </w:rPr>
      </w:pPr>
      <w:r w:rsidRPr="008F564A">
        <w:rPr>
          <w:sz w:val="20"/>
          <w:szCs w:val="20"/>
        </w:rPr>
        <w:t>Example:</w:t>
      </w:r>
      <w:r>
        <w:rPr>
          <w:sz w:val="20"/>
          <w:szCs w:val="20"/>
        </w:rPr>
        <w:t xml:space="preserve">  Assume initial DO was 8.5 mg/L for all dilutions</w:t>
      </w:r>
    </w:p>
    <w:p w14:paraId="60DD39AC" w14:textId="77777777" w:rsidR="00414824" w:rsidRDefault="00414824" w:rsidP="00414824"/>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2535"/>
      </w:tblGrid>
      <w:tr w:rsidR="00414824" w14:paraId="2C291BE5" w14:textId="77777777" w:rsidTr="001B7474">
        <w:tc>
          <w:tcPr>
            <w:tcW w:w="1771" w:type="dxa"/>
            <w:shd w:val="clear" w:color="auto" w:fill="FFFF99"/>
            <w:vAlign w:val="center"/>
          </w:tcPr>
          <w:p w14:paraId="21FA5DF1" w14:textId="77777777" w:rsidR="00414824" w:rsidRPr="00992D28" w:rsidRDefault="00414824" w:rsidP="001B7474">
            <w:pPr>
              <w:jc w:val="center"/>
              <w:rPr>
                <w:sz w:val="20"/>
                <w:szCs w:val="20"/>
              </w:rPr>
            </w:pPr>
            <w:r w:rsidRPr="00992D28">
              <w:rPr>
                <w:sz w:val="20"/>
                <w:szCs w:val="20"/>
              </w:rPr>
              <w:t>Sample Volume (mL)</w:t>
            </w:r>
          </w:p>
        </w:tc>
        <w:tc>
          <w:tcPr>
            <w:tcW w:w="1771" w:type="dxa"/>
            <w:shd w:val="clear" w:color="auto" w:fill="FFFF99"/>
            <w:vAlign w:val="center"/>
          </w:tcPr>
          <w:p w14:paraId="1CF2B3F4" w14:textId="77777777" w:rsidR="00414824" w:rsidRPr="00992D28" w:rsidRDefault="00414824" w:rsidP="001B7474">
            <w:pPr>
              <w:jc w:val="center"/>
              <w:rPr>
                <w:sz w:val="20"/>
                <w:szCs w:val="20"/>
              </w:rPr>
            </w:pPr>
            <w:r w:rsidRPr="00992D28">
              <w:rPr>
                <w:sz w:val="20"/>
                <w:szCs w:val="20"/>
              </w:rPr>
              <w:t>Final DO  (mg/L)</w:t>
            </w:r>
          </w:p>
        </w:tc>
        <w:tc>
          <w:tcPr>
            <w:tcW w:w="1771" w:type="dxa"/>
            <w:shd w:val="clear" w:color="auto" w:fill="FFFF99"/>
            <w:vAlign w:val="center"/>
          </w:tcPr>
          <w:p w14:paraId="25EE6378" w14:textId="77777777" w:rsidR="00414824" w:rsidRPr="00992D28" w:rsidRDefault="00414824" w:rsidP="001B7474">
            <w:pPr>
              <w:jc w:val="center"/>
              <w:rPr>
                <w:sz w:val="20"/>
                <w:szCs w:val="20"/>
              </w:rPr>
            </w:pPr>
            <w:r w:rsidRPr="00992D28">
              <w:rPr>
                <w:sz w:val="20"/>
                <w:szCs w:val="20"/>
              </w:rPr>
              <w:t>Which dilution to use (smallest volume)</w:t>
            </w:r>
          </w:p>
        </w:tc>
        <w:tc>
          <w:tcPr>
            <w:tcW w:w="2535" w:type="dxa"/>
            <w:shd w:val="clear" w:color="auto" w:fill="FFFF99"/>
            <w:vAlign w:val="center"/>
          </w:tcPr>
          <w:p w14:paraId="456AC58A" w14:textId="77777777" w:rsidR="00414824" w:rsidRPr="00992D28" w:rsidRDefault="00414824" w:rsidP="001B7474">
            <w:pPr>
              <w:jc w:val="center"/>
              <w:rPr>
                <w:sz w:val="20"/>
                <w:szCs w:val="20"/>
              </w:rPr>
            </w:pPr>
            <w:r w:rsidRPr="00992D28">
              <w:rPr>
                <w:sz w:val="20"/>
                <w:szCs w:val="20"/>
              </w:rPr>
              <w:t>Reported BOD result (mg/L)</w:t>
            </w:r>
          </w:p>
        </w:tc>
      </w:tr>
      <w:tr w:rsidR="00414824" w14:paraId="6CAD9323" w14:textId="77777777" w:rsidTr="001B7474">
        <w:tc>
          <w:tcPr>
            <w:tcW w:w="1771" w:type="dxa"/>
            <w:shd w:val="clear" w:color="auto" w:fill="auto"/>
            <w:vAlign w:val="center"/>
          </w:tcPr>
          <w:p w14:paraId="401FF516" w14:textId="77777777" w:rsidR="00414824" w:rsidRPr="00992D28" w:rsidRDefault="00414824" w:rsidP="001B7474">
            <w:pPr>
              <w:jc w:val="center"/>
              <w:rPr>
                <w:sz w:val="20"/>
                <w:szCs w:val="20"/>
              </w:rPr>
            </w:pPr>
            <w:r w:rsidRPr="00992D28">
              <w:rPr>
                <w:sz w:val="20"/>
                <w:szCs w:val="20"/>
              </w:rPr>
              <w:t>25</w:t>
            </w:r>
          </w:p>
        </w:tc>
        <w:tc>
          <w:tcPr>
            <w:tcW w:w="1771" w:type="dxa"/>
            <w:shd w:val="clear" w:color="auto" w:fill="auto"/>
            <w:vAlign w:val="center"/>
          </w:tcPr>
          <w:p w14:paraId="250A1F1E" w14:textId="77777777" w:rsidR="00414824" w:rsidRPr="00992D28" w:rsidRDefault="00414824" w:rsidP="001B7474">
            <w:pPr>
              <w:jc w:val="center"/>
              <w:rPr>
                <w:sz w:val="20"/>
                <w:szCs w:val="20"/>
              </w:rPr>
            </w:pPr>
            <w:r w:rsidRPr="00992D28">
              <w:rPr>
                <w:sz w:val="20"/>
                <w:szCs w:val="20"/>
              </w:rPr>
              <w:t>0.9</w:t>
            </w:r>
          </w:p>
        </w:tc>
        <w:tc>
          <w:tcPr>
            <w:tcW w:w="1771" w:type="dxa"/>
            <w:shd w:val="clear" w:color="auto" w:fill="auto"/>
            <w:vAlign w:val="center"/>
          </w:tcPr>
          <w:p w14:paraId="10587860" w14:textId="77777777" w:rsidR="00414824" w:rsidRPr="00992D28" w:rsidRDefault="00414824" w:rsidP="001B7474">
            <w:pPr>
              <w:jc w:val="center"/>
              <w:rPr>
                <w:sz w:val="20"/>
                <w:szCs w:val="20"/>
              </w:rPr>
            </w:pPr>
            <w:r w:rsidRPr="00992D28">
              <w:rPr>
                <w:sz w:val="20"/>
                <w:szCs w:val="20"/>
              </w:rPr>
              <w:t>Pick this one</w:t>
            </w:r>
          </w:p>
        </w:tc>
        <w:tc>
          <w:tcPr>
            <w:tcW w:w="2535" w:type="dxa"/>
            <w:vMerge w:val="restart"/>
            <w:shd w:val="clear" w:color="auto" w:fill="auto"/>
            <w:vAlign w:val="center"/>
          </w:tcPr>
          <w:p w14:paraId="2D0EB060" w14:textId="77777777" w:rsidR="00414824" w:rsidRPr="00992D28" w:rsidRDefault="00414824" w:rsidP="001B7474">
            <w:pPr>
              <w:jc w:val="center"/>
              <w:rPr>
                <w:sz w:val="20"/>
                <w:szCs w:val="20"/>
              </w:rPr>
            </w:pPr>
            <w:r w:rsidRPr="00992D28">
              <w:rPr>
                <w:sz w:val="20"/>
                <w:szCs w:val="20"/>
              </w:rPr>
              <w:t>&gt; 91 mg/L</w:t>
            </w:r>
          </w:p>
          <w:p w14:paraId="279120E1" w14:textId="77777777" w:rsidR="00414824" w:rsidRPr="00992D28" w:rsidRDefault="00414824" w:rsidP="001B7474">
            <w:pPr>
              <w:jc w:val="center"/>
              <w:rPr>
                <w:sz w:val="20"/>
                <w:szCs w:val="20"/>
              </w:rPr>
            </w:pPr>
          </w:p>
          <w:p w14:paraId="05A70E97" w14:textId="77777777" w:rsidR="00414824" w:rsidRPr="00992D28" w:rsidRDefault="00414824" w:rsidP="001B7474">
            <w:pPr>
              <w:jc w:val="center"/>
              <w:rPr>
                <w:sz w:val="20"/>
                <w:szCs w:val="20"/>
              </w:rPr>
            </w:pPr>
            <w:r w:rsidRPr="00992D28">
              <w:rPr>
                <w:sz w:val="20"/>
                <w:szCs w:val="20"/>
              </w:rPr>
              <w:t>8.5 – 0.9 mg/L =</w:t>
            </w:r>
          </w:p>
          <w:p w14:paraId="74E768D4" w14:textId="77777777" w:rsidR="00414824" w:rsidRPr="00992D28" w:rsidRDefault="00414824" w:rsidP="001B7474">
            <w:pPr>
              <w:jc w:val="center"/>
              <w:rPr>
                <w:sz w:val="20"/>
                <w:szCs w:val="20"/>
              </w:rPr>
            </w:pPr>
            <w:r w:rsidRPr="00992D28">
              <w:rPr>
                <w:sz w:val="20"/>
                <w:szCs w:val="20"/>
              </w:rPr>
              <w:t>7.6 mg/L * 300 mL/25 mL</w:t>
            </w:r>
          </w:p>
        </w:tc>
      </w:tr>
      <w:tr w:rsidR="00414824" w14:paraId="09E9767A" w14:textId="77777777" w:rsidTr="001B7474">
        <w:tc>
          <w:tcPr>
            <w:tcW w:w="1771" w:type="dxa"/>
            <w:shd w:val="clear" w:color="auto" w:fill="auto"/>
            <w:vAlign w:val="center"/>
          </w:tcPr>
          <w:p w14:paraId="59F284F3" w14:textId="77777777" w:rsidR="00414824" w:rsidRPr="00992D28" w:rsidRDefault="00414824" w:rsidP="001B7474">
            <w:pPr>
              <w:jc w:val="center"/>
              <w:rPr>
                <w:sz w:val="20"/>
                <w:szCs w:val="20"/>
              </w:rPr>
            </w:pPr>
            <w:r w:rsidRPr="00992D28">
              <w:rPr>
                <w:sz w:val="20"/>
                <w:szCs w:val="20"/>
              </w:rPr>
              <w:t>50</w:t>
            </w:r>
          </w:p>
        </w:tc>
        <w:tc>
          <w:tcPr>
            <w:tcW w:w="1771" w:type="dxa"/>
            <w:shd w:val="clear" w:color="auto" w:fill="auto"/>
            <w:vAlign w:val="center"/>
          </w:tcPr>
          <w:p w14:paraId="47E33305" w14:textId="77777777" w:rsidR="00414824" w:rsidRPr="00992D28" w:rsidRDefault="00414824" w:rsidP="001B7474">
            <w:pPr>
              <w:jc w:val="center"/>
              <w:rPr>
                <w:sz w:val="20"/>
                <w:szCs w:val="20"/>
              </w:rPr>
            </w:pPr>
            <w:r w:rsidRPr="00992D28">
              <w:rPr>
                <w:sz w:val="20"/>
                <w:szCs w:val="20"/>
              </w:rPr>
              <w:t>0.7</w:t>
            </w:r>
          </w:p>
        </w:tc>
        <w:tc>
          <w:tcPr>
            <w:tcW w:w="1771" w:type="dxa"/>
            <w:shd w:val="clear" w:color="auto" w:fill="auto"/>
            <w:vAlign w:val="center"/>
          </w:tcPr>
          <w:p w14:paraId="7229315D" w14:textId="77777777" w:rsidR="00414824" w:rsidRPr="00992D28" w:rsidRDefault="00414824" w:rsidP="001B7474">
            <w:pPr>
              <w:jc w:val="center"/>
              <w:rPr>
                <w:sz w:val="20"/>
                <w:szCs w:val="20"/>
              </w:rPr>
            </w:pPr>
          </w:p>
        </w:tc>
        <w:tc>
          <w:tcPr>
            <w:tcW w:w="2535" w:type="dxa"/>
            <w:vMerge/>
            <w:shd w:val="clear" w:color="auto" w:fill="auto"/>
            <w:vAlign w:val="center"/>
          </w:tcPr>
          <w:p w14:paraId="3157A1DD" w14:textId="77777777" w:rsidR="00414824" w:rsidRPr="00992D28" w:rsidRDefault="00414824" w:rsidP="001B7474">
            <w:pPr>
              <w:jc w:val="center"/>
              <w:rPr>
                <w:sz w:val="20"/>
                <w:szCs w:val="20"/>
              </w:rPr>
            </w:pPr>
          </w:p>
        </w:tc>
      </w:tr>
      <w:tr w:rsidR="00414824" w14:paraId="4F7197F2" w14:textId="77777777" w:rsidTr="001B7474">
        <w:tc>
          <w:tcPr>
            <w:tcW w:w="1771" w:type="dxa"/>
            <w:shd w:val="clear" w:color="auto" w:fill="auto"/>
            <w:vAlign w:val="center"/>
          </w:tcPr>
          <w:p w14:paraId="5C72DBF8" w14:textId="77777777" w:rsidR="00414824" w:rsidRPr="00992D28" w:rsidRDefault="00414824" w:rsidP="001B7474">
            <w:pPr>
              <w:jc w:val="center"/>
              <w:rPr>
                <w:sz w:val="20"/>
                <w:szCs w:val="20"/>
              </w:rPr>
            </w:pPr>
            <w:r w:rsidRPr="00992D28">
              <w:rPr>
                <w:sz w:val="20"/>
                <w:szCs w:val="20"/>
              </w:rPr>
              <w:t>100</w:t>
            </w:r>
          </w:p>
        </w:tc>
        <w:tc>
          <w:tcPr>
            <w:tcW w:w="1771" w:type="dxa"/>
            <w:shd w:val="clear" w:color="auto" w:fill="auto"/>
            <w:vAlign w:val="center"/>
          </w:tcPr>
          <w:p w14:paraId="3D6D9508" w14:textId="77777777" w:rsidR="00414824" w:rsidRPr="00992D28" w:rsidRDefault="00414824" w:rsidP="001B7474">
            <w:pPr>
              <w:jc w:val="center"/>
              <w:rPr>
                <w:sz w:val="20"/>
                <w:szCs w:val="20"/>
              </w:rPr>
            </w:pPr>
            <w:r w:rsidRPr="00992D28">
              <w:rPr>
                <w:sz w:val="20"/>
                <w:szCs w:val="20"/>
              </w:rPr>
              <w:t>0.5</w:t>
            </w:r>
          </w:p>
        </w:tc>
        <w:tc>
          <w:tcPr>
            <w:tcW w:w="1771" w:type="dxa"/>
            <w:shd w:val="clear" w:color="auto" w:fill="auto"/>
            <w:vAlign w:val="center"/>
          </w:tcPr>
          <w:p w14:paraId="2FFB28E0" w14:textId="77777777" w:rsidR="00414824" w:rsidRPr="00992D28" w:rsidRDefault="00414824" w:rsidP="001B7474">
            <w:pPr>
              <w:jc w:val="center"/>
              <w:rPr>
                <w:sz w:val="20"/>
                <w:szCs w:val="20"/>
              </w:rPr>
            </w:pPr>
          </w:p>
        </w:tc>
        <w:tc>
          <w:tcPr>
            <w:tcW w:w="2535" w:type="dxa"/>
            <w:vMerge/>
            <w:shd w:val="clear" w:color="auto" w:fill="auto"/>
            <w:vAlign w:val="center"/>
          </w:tcPr>
          <w:p w14:paraId="515BF277" w14:textId="77777777" w:rsidR="00414824" w:rsidRPr="00992D28" w:rsidRDefault="00414824" w:rsidP="001B7474">
            <w:pPr>
              <w:jc w:val="center"/>
              <w:rPr>
                <w:sz w:val="20"/>
                <w:szCs w:val="20"/>
              </w:rPr>
            </w:pPr>
          </w:p>
        </w:tc>
      </w:tr>
      <w:tr w:rsidR="00414824" w14:paraId="342DF713" w14:textId="77777777" w:rsidTr="001B7474">
        <w:tc>
          <w:tcPr>
            <w:tcW w:w="1771" w:type="dxa"/>
            <w:shd w:val="clear" w:color="auto" w:fill="auto"/>
            <w:vAlign w:val="center"/>
          </w:tcPr>
          <w:p w14:paraId="53DEFB26" w14:textId="77777777" w:rsidR="00414824" w:rsidRPr="00992D28" w:rsidRDefault="00414824" w:rsidP="001B7474">
            <w:pPr>
              <w:jc w:val="center"/>
              <w:rPr>
                <w:sz w:val="20"/>
                <w:szCs w:val="20"/>
              </w:rPr>
            </w:pPr>
            <w:r w:rsidRPr="00992D28">
              <w:rPr>
                <w:sz w:val="20"/>
                <w:szCs w:val="20"/>
              </w:rPr>
              <w:t>150</w:t>
            </w:r>
          </w:p>
        </w:tc>
        <w:tc>
          <w:tcPr>
            <w:tcW w:w="1771" w:type="dxa"/>
            <w:shd w:val="clear" w:color="auto" w:fill="auto"/>
            <w:vAlign w:val="center"/>
          </w:tcPr>
          <w:p w14:paraId="2C55D1A6" w14:textId="77777777" w:rsidR="00414824" w:rsidRPr="00992D28" w:rsidRDefault="00414824" w:rsidP="001B7474">
            <w:pPr>
              <w:jc w:val="center"/>
              <w:rPr>
                <w:sz w:val="20"/>
                <w:szCs w:val="20"/>
              </w:rPr>
            </w:pPr>
            <w:r w:rsidRPr="00992D28">
              <w:rPr>
                <w:sz w:val="20"/>
                <w:szCs w:val="20"/>
              </w:rPr>
              <w:t>0.4</w:t>
            </w:r>
          </w:p>
        </w:tc>
        <w:tc>
          <w:tcPr>
            <w:tcW w:w="1771" w:type="dxa"/>
            <w:shd w:val="clear" w:color="auto" w:fill="auto"/>
            <w:vAlign w:val="center"/>
          </w:tcPr>
          <w:p w14:paraId="735895E8" w14:textId="77777777" w:rsidR="00414824" w:rsidRPr="00992D28" w:rsidRDefault="00414824" w:rsidP="001B7474">
            <w:pPr>
              <w:jc w:val="center"/>
              <w:rPr>
                <w:sz w:val="20"/>
                <w:szCs w:val="20"/>
              </w:rPr>
            </w:pPr>
          </w:p>
        </w:tc>
        <w:tc>
          <w:tcPr>
            <w:tcW w:w="2535" w:type="dxa"/>
            <w:vMerge/>
            <w:shd w:val="clear" w:color="auto" w:fill="auto"/>
            <w:vAlign w:val="center"/>
          </w:tcPr>
          <w:p w14:paraId="287BE5DC" w14:textId="77777777" w:rsidR="00414824" w:rsidRPr="00992D28" w:rsidRDefault="00414824" w:rsidP="001B7474">
            <w:pPr>
              <w:jc w:val="center"/>
              <w:rPr>
                <w:sz w:val="20"/>
                <w:szCs w:val="20"/>
              </w:rPr>
            </w:pPr>
          </w:p>
        </w:tc>
      </w:tr>
      <w:tr w:rsidR="00414824" w14:paraId="3B34F221" w14:textId="77777777" w:rsidTr="001B7474">
        <w:tc>
          <w:tcPr>
            <w:tcW w:w="1771" w:type="dxa"/>
            <w:shd w:val="clear" w:color="auto" w:fill="auto"/>
            <w:vAlign w:val="center"/>
          </w:tcPr>
          <w:p w14:paraId="626C58AF" w14:textId="77777777" w:rsidR="00414824" w:rsidRPr="00992D28" w:rsidRDefault="00414824" w:rsidP="001B7474">
            <w:pPr>
              <w:jc w:val="center"/>
              <w:rPr>
                <w:sz w:val="20"/>
                <w:szCs w:val="20"/>
              </w:rPr>
            </w:pPr>
            <w:r w:rsidRPr="00992D28">
              <w:rPr>
                <w:sz w:val="20"/>
                <w:szCs w:val="20"/>
              </w:rPr>
              <w:t>200</w:t>
            </w:r>
          </w:p>
        </w:tc>
        <w:tc>
          <w:tcPr>
            <w:tcW w:w="1771" w:type="dxa"/>
            <w:shd w:val="clear" w:color="auto" w:fill="auto"/>
            <w:vAlign w:val="center"/>
          </w:tcPr>
          <w:p w14:paraId="71932808" w14:textId="77777777" w:rsidR="00414824" w:rsidRPr="00992D28" w:rsidRDefault="00414824" w:rsidP="001B7474">
            <w:pPr>
              <w:jc w:val="center"/>
              <w:rPr>
                <w:sz w:val="20"/>
                <w:szCs w:val="20"/>
              </w:rPr>
            </w:pPr>
            <w:r w:rsidRPr="00992D28">
              <w:rPr>
                <w:sz w:val="20"/>
                <w:szCs w:val="20"/>
              </w:rPr>
              <w:t>0.3</w:t>
            </w:r>
          </w:p>
        </w:tc>
        <w:tc>
          <w:tcPr>
            <w:tcW w:w="1771" w:type="dxa"/>
            <w:shd w:val="clear" w:color="auto" w:fill="auto"/>
            <w:vAlign w:val="center"/>
          </w:tcPr>
          <w:p w14:paraId="3573C1C7" w14:textId="77777777" w:rsidR="00414824" w:rsidRPr="00992D28" w:rsidRDefault="00414824" w:rsidP="001B7474">
            <w:pPr>
              <w:jc w:val="center"/>
              <w:rPr>
                <w:sz w:val="20"/>
                <w:szCs w:val="20"/>
              </w:rPr>
            </w:pPr>
          </w:p>
        </w:tc>
        <w:tc>
          <w:tcPr>
            <w:tcW w:w="2535" w:type="dxa"/>
            <w:vMerge/>
            <w:shd w:val="clear" w:color="auto" w:fill="auto"/>
            <w:vAlign w:val="center"/>
          </w:tcPr>
          <w:p w14:paraId="34DDC756" w14:textId="77777777" w:rsidR="00414824" w:rsidRPr="00992D28" w:rsidRDefault="00414824" w:rsidP="001B7474">
            <w:pPr>
              <w:jc w:val="center"/>
              <w:rPr>
                <w:sz w:val="20"/>
                <w:szCs w:val="20"/>
              </w:rPr>
            </w:pPr>
          </w:p>
        </w:tc>
      </w:tr>
    </w:tbl>
    <w:p w14:paraId="7939A531" w14:textId="77777777" w:rsidR="00414824" w:rsidRDefault="00414824" w:rsidP="00414824"/>
    <w:p w14:paraId="33833466" w14:textId="77777777" w:rsidR="00414824" w:rsidRDefault="00414824" w:rsidP="00414824">
      <w:pPr>
        <w:rPr>
          <w:sz w:val="20"/>
          <w:szCs w:val="20"/>
        </w:rPr>
      </w:pPr>
      <w:r>
        <w:rPr>
          <w:sz w:val="20"/>
          <w:szCs w:val="20"/>
        </w:rPr>
        <w:t>In</w:t>
      </w:r>
      <w:r w:rsidRPr="009D7CEB">
        <w:rPr>
          <w:sz w:val="20"/>
          <w:szCs w:val="20"/>
        </w:rPr>
        <w:t xml:space="preserve"> all of these cases, if you seed</w:t>
      </w:r>
      <w:r>
        <w:rPr>
          <w:sz w:val="20"/>
          <w:szCs w:val="20"/>
        </w:rPr>
        <w:t>ed</w:t>
      </w:r>
      <w:r w:rsidRPr="009D7CEB">
        <w:rPr>
          <w:sz w:val="20"/>
          <w:szCs w:val="20"/>
        </w:rPr>
        <w:t xml:space="preserve"> your samples you </w:t>
      </w:r>
      <w:r>
        <w:rPr>
          <w:sz w:val="20"/>
          <w:szCs w:val="20"/>
        </w:rPr>
        <w:t xml:space="preserve">will </w:t>
      </w:r>
      <w:r w:rsidRPr="009D7CEB">
        <w:rPr>
          <w:sz w:val="20"/>
          <w:szCs w:val="20"/>
        </w:rPr>
        <w:t>need to subtract the average seed control factor as appropriate.</w:t>
      </w:r>
    </w:p>
    <w:p w14:paraId="4B7E0099" w14:textId="77777777" w:rsidR="00414824" w:rsidRDefault="00414824" w:rsidP="00414824">
      <w:pPr>
        <w:rPr>
          <w:sz w:val="20"/>
          <w:szCs w:val="20"/>
        </w:rPr>
      </w:pPr>
    </w:p>
    <w:p w14:paraId="6EC5E187" w14:textId="3166D3ED" w:rsidR="005C78FD" w:rsidRPr="00414824" w:rsidRDefault="00414824" w:rsidP="00414824">
      <w:pPr>
        <w:rPr>
          <w:sz w:val="20"/>
          <w:szCs w:val="20"/>
        </w:rPr>
      </w:pPr>
      <w:r>
        <w:rPr>
          <w:sz w:val="20"/>
          <w:szCs w:val="20"/>
        </w:rPr>
        <w:t xml:space="preserve">On a slightly different note, when evaluating seed controls, the same method criterion that applies to sample dilutions applies to </w:t>
      </w:r>
      <w:proofErr w:type="spellStart"/>
      <w:r>
        <w:rPr>
          <w:sz w:val="20"/>
          <w:szCs w:val="20"/>
        </w:rPr>
        <w:t>seed</w:t>
      </w:r>
      <w:proofErr w:type="spellEnd"/>
      <w:r>
        <w:rPr>
          <w:sz w:val="20"/>
          <w:szCs w:val="20"/>
        </w:rPr>
        <w:t xml:space="preserve"> control dilutions.  Each seed control dilution must have a minimum of 2.0 mg/L DO depletion and 1.0 mg/L residual DO.  If any of the seed controls fail to meet either one of these criteria, you don’t use that seed control dilution.  If all seed control dilutions fail, then use the one seed control dilution that comes closest to meeting all of the criteria.</w:t>
      </w:r>
    </w:p>
    <w:sectPr w:rsidR="005C78FD" w:rsidRPr="00414824" w:rsidSect="000E6C00">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F74A" w14:textId="77777777" w:rsidR="00D34D17" w:rsidRDefault="00D34D17">
      <w:r>
        <w:separator/>
      </w:r>
    </w:p>
  </w:endnote>
  <w:endnote w:type="continuationSeparator" w:id="0">
    <w:p w14:paraId="53DDCA10" w14:textId="77777777" w:rsidR="00D34D17" w:rsidRDefault="00D3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38975918"/>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6201291E" w14:textId="77777777" w:rsidR="00303A3C" w:rsidRPr="00303A3C" w:rsidRDefault="00303A3C">
            <w:pPr>
              <w:pStyle w:val="Footer"/>
              <w:jc w:val="right"/>
              <w:rPr>
                <w:rFonts w:ascii="Arial" w:hAnsi="Arial" w:cs="Arial"/>
                <w:sz w:val="20"/>
              </w:rPr>
            </w:pPr>
            <w:r w:rsidRPr="00303A3C">
              <w:rPr>
                <w:rFonts w:ascii="Arial" w:hAnsi="Arial" w:cs="Arial"/>
                <w:sz w:val="20"/>
              </w:rPr>
              <w:t xml:space="preserve">Page </w:t>
            </w:r>
            <w:r w:rsidRPr="00303A3C">
              <w:rPr>
                <w:rFonts w:ascii="Arial" w:hAnsi="Arial" w:cs="Arial"/>
                <w:bCs/>
                <w:sz w:val="20"/>
              </w:rPr>
              <w:fldChar w:fldCharType="begin"/>
            </w:r>
            <w:r w:rsidRPr="00303A3C">
              <w:rPr>
                <w:rFonts w:ascii="Arial" w:hAnsi="Arial" w:cs="Arial"/>
                <w:bCs/>
                <w:sz w:val="20"/>
              </w:rPr>
              <w:instrText xml:space="preserve"> PAGE </w:instrText>
            </w:r>
            <w:r w:rsidRPr="00303A3C">
              <w:rPr>
                <w:rFonts w:ascii="Arial" w:hAnsi="Arial" w:cs="Arial"/>
                <w:bCs/>
                <w:sz w:val="20"/>
              </w:rPr>
              <w:fldChar w:fldCharType="separate"/>
            </w:r>
            <w:r w:rsidR="003348B8">
              <w:rPr>
                <w:rFonts w:ascii="Arial" w:hAnsi="Arial" w:cs="Arial"/>
                <w:bCs/>
                <w:noProof/>
                <w:sz w:val="20"/>
              </w:rPr>
              <w:t>4</w:t>
            </w:r>
            <w:r w:rsidRPr="00303A3C">
              <w:rPr>
                <w:rFonts w:ascii="Arial" w:hAnsi="Arial" w:cs="Arial"/>
                <w:bCs/>
                <w:sz w:val="20"/>
              </w:rPr>
              <w:fldChar w:fldCharType="end"/>
            </w:r>
            <w:r w:rsidRPr="00303A3C">
              <w:rPr>
                <w:rFonts w:ascii="Arial" w:hAnsi="Arial" w:cs="Arial"/>
                <w:sz w:val="20"/>
              </w:rPr>
              <w:t xml:space="preserve"> of </w:t>
            </w:r>
            <w:r w:rsidRPr="00303A3C">
              <w:rPr>
                <w:rFonts w:ascii="Arial" w:hAnsi="Arial" w:cs="Arial"/>
                <w:bCs/>
                <w:sz w:val="20"/>
              </w:rPr>
              <w:fldChar w:fldCharType="begin"/>
            </w:r>
            <w:r w:rsidRPr="00303A3C">
              <w:rPr>
                <w:rFonts w:ascii="Arial" w:hAnsi="Arial" w:cs="Arial"/>
                <w:bCs/>
                <w:sz w:val="20"/>
              </w:rPr>
              <w:instrText xml:space="preserve"> NUMPAGES  </w:instrText>
            </w:r>
            <w:r w:rsidRPr="00303A3C">
              <w:rPr>
                <w:rFonts w:ascii="Arial" w:hAnsi="Arial" w:cs="Arial"/>
                <w:bCs/>
                <w:sz w:val="20"/>
              </w:rPr>
              <w:fldChar w:fldCharType="separate"/>
            </w:r>
            <w:r w:rsidR="003348B8">
              <w:rPr>
                <w:rFonts w:ascii="Arial" w:hAnsi="Arial" w:cs="Arial"/>
                <w:bCs/>
                <w:noProof/>
                <w:sz w:val="20"/>
              </w:rPr>
              <w:t>13</w:t>
            </w:r>
            <w:r w:rsidRPr="00303A3C">
              <w:rPr>
                <w:rFonts w:ascii="Arial" w:hAnsi="Arial" w:cs="Arial"/>
                <w:bCs/>
                <w:sz w:val="20"/>
              </w:rPr>
              <w:fldChar w:fldCharType="end"/>
            </w:r>
          </w:p>
        </w:sdtContent>
      </w:sdt>
    </w:sdtContent>
  </w:sdt>
  <w:p w14:paraId="61933CB0" w14:textId="77777777" w:rsidR="00B82E26" w:rsidRDefault="00B8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E56C0" w14:textId="77777777" w:rsidR="00D34D17" w:rsidRDefault="00D34D17">
      <w:r>
        <w:separator/>
      </w:r>
    </w:p>
  </w:footnote>
  <w:footnote w:type="continuationSeparator" w:id="0">
    <w:p w14:paraId="25DF9A4F" w14:textId="77777777" w:rsidR="00D34D17" w:rsidRDefault="00D3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hint="default"/>
        <w:b/>
        <w:i w:val="0"/>
        <w:sz w:val="22"/>
      </w:rPr>
    </w:lvl>
    <w:lvl w:ilvl="1">
      <w:start w:val="1"/>
      <w:numFmt w:val="decimal"/>
      <w:pStyle w:val="11SOP"/>
      <w:lvlText w:val="%1.%2"/>
      <w:lvlJc w:val="left"/>
      <w:pPr>
        <w:tabs>
          <w:tab w:val="num" w:pos="1440"/>
        </w:tabs>
        <w:ind w:left="1440" w:hanging="720"/>
      </w:pPr>
      <w:rPr>
        <w:rFonts w:ascii="Arial" w:hAnsi="Arial" w:hint="default"/>
        <w:b/>
        <w:i w:val="0"/>
        <w:sz w:val="22"/>
      </w:rPr>
    </w:lvl>
    <w:lvl w:ilvl="2">
      <w:start w:val="1"/>
      <w:numFmt w:val="decimal"/>
      <w:pStyle w:val="111SOP"/>
      <w:lvlText w:val="%1.%2.%3."/>
      <w:lvlJc w:val="left"/>
      <w:pPr>
        <w:tabs>
          <w:tab w:val="num" w:pos="2430"/>
        </w:tabs>
        <w:ind w:left="243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0CB7F24"/>
    <w:multiLevelType w:val="hybridMultilevel"/>
    <w:tmpl w:val="9F96E4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C0969A6"/>
    <w:multiLevelType w:val="hybridMultilevel"/>
    <w:tmpl w:val="8E724D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6"/>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13B57"/>
    <w:rsid w:val="0002243B"/>
    <w:rsid w:val="00022E34"/>
    <w:rsid w:val="00025913"/>
    <w:rsid w:val="000343B2"/>
    <w:rsid w:val="000411E9"/>
    <w:rsid w:val="00043E6D"/>
    <w:rsid w:val="00046C43"/>
    <w:rsid w:val="00076543"/>
    <w:rsid w:val="00086043"/>
    <w:rsid w:val="000B5DB3"/>
    <w:rsid w:val="000B7F23"/>
    <w:rsid w:val="000D259D"/>
    <w:rsid w:val="000D4595"/>
    <w:rsid w:val="000E04B4"/>
    <w:rsid w:val="000E6C00"/>
    <w:rsid w:val="000F03D3"/>
    <w:rsid w:val="00103032"/>
    <w:rsid w:val="0010368E"/>
    <w:rsid w:val="00130017"/>
    <w:rsid w:val="001375C1"/>
    <w:rsid w:val="001531C4"/>
    <w:rsid w:val="001671DA"/>
    <w:rsid w:val="001865A3"/>
    <w:rsid w:val="001B0846"/>
    <w:rsid w:val="001B225C"/>
    <w:rsid w:val="001D1F3C"/>
    <w:rsid w:val="001F3BA7"/>
    <w:rsid w:val="00243C1A"/>
    <w:rsid w:val="00250E8D"/>
    <w:rsid w:val="0025456A"/>
    <w:rsid w:val="002A208C"/>
    <w:rsid w:val="002B41C9"/>
    <w:rsid w:val="002C1D1A"/>
    <w:rsid w:val="002E5DA9"/>
    <w:rsid w:val="00303A3C"/>
    <w:rsid w:val="00316087"/>
    <w:rsid w:val="003348B8"/>
    <w:rsid w:val="00342077"/>
    <w:rsid w:val="00353D6E"/>
    <w:rsid w:val="00370A84"/>
    <w:rsid w:val="00374B04"/>
    <w:rsid w:val="0037576F"/>
    <w:rsid w:val="00384CA2"/>
    <w:rsid w:val="00385B07"/>
    <w:rsid w:val="003A7425"/>
    <w:rsid w:val="003A7B2C"/>
    <w:rsid w:val="003C4A57"/>
    <w:rsid w:val="00405A07"/>
    <w:rsid w:val="00414824"/>
    <w:rsid w:val="004329D9"/>
    <w:rsid w:val="00443D73"/>
    <w:rsid w:val="00446131"/>
    <w:rsid w:val="00446A34"/>
    <w:rsid w:val="004644AB"/>
    <w:rsid w:val="0046794D"/>
    <w:rsid w:val="00471469"/>
    <w:rsid w:val="004829F6"/>
    <w:rsid w:val="00486837"/>
    <w:rsid w:val="0049290E"/>
    <w:rsid w:val="00494426"/>
    <w:rsid w:val="004A2241"/>
    <w:rsid w:val="004A562B"/>
    <w:rsid w:val="004B32D9"/>
    <w:rsid w:val="004B4AE3"/>
    <w:rsid w:val="00511FB7"/>
    <w:rsid w:val="00513196"/>
    <w:rsid w:val="00521FFA"/>
    <w:rsid w:val="005269BC"/>
    <w:rsid w:val="00540555"/>
    <w:rsid w:val="00556451"/>
    <w:rsid w:val="00580791"/>
    <w:rsid w:val="00583B23"/>
    <w:rsid w:val="00586C9E"/>
    <w:rsid w:val="00591CF0"/>
    <w:rsid w:val="005B36A8"/>
    <w:rsid w:val="005B48BE"/>
    <w:rsid w:val="005B6201"/>
    <w:rsid w:val="005B7E38"/>
    <w:rsid w:val="005C78FD"/>
    <w:rsid w:val="005E2E37"/>
    <w:rsid w:val="005E77ED"/>
    <w:rsid w:val="00602F59"/>
    <w:rsid w:val="0060430D"/>
    <w:rsid w:val="00630131"/>
    <w:rsid w:val="00633B14"/>
    <w:rsid w:val="00646100"/>
    <w:rsid w:val="00653317"/>
    <w:rsid w:val="00673A7D"/>
    <w:rsid w:val="00683244"/>
    <w:rsid w:val="00690C9F"/>
    <w:rsid w:val="006927B0"/>
    <w:rsid w:val="006D0E91"/>
    <w:rsid w:val="006D20BF"/>
    <w:rsid w:val="006D24C3"/>
    <w:rsid w:val="00702966"/>
    <w:rsid w:val="00712AA7"/>
    <w:rsid w:val="00713454"/>
    <w:rsid w:val="00720295"/>
    <w:rsid w:val="00755AC7"/>
    <w:rsid w:val="00770543"/>
    <w:rsid w:val="007771E3"/>
    <w:rsid w:val="007931B8"/>
    <w:rsid w:val="007A5407"/>
    <w:rsid w:val="007D3741"/>
    <w:rsid w:val="007D3ABD"/>
    <w:rsid w:val="007E0035"/>
    <w:rsid w:val="007F2F4F"/>
    <w:rsid w:val="00801635"/>
    <w:rsid w:val="00802F73"/>
    <w:rsid w:val="008064C1"/>
    <w:rsid w:val="00881CAA"/>
    <w:rsid w:val="00886ABD"/>
    <w:rsid w:val="008E5B2F"/>
    <w:rsid w:val="009054E2"/>
    <w:rsid w:val="00905652"/>
    <w:rsid w:val="00923F3F"/>
    <w:rsid w:val="00927BA6"/>
    <w:rsid w:val="00931FB9"/>
    <w:rsid w:val="009361C9"/>
    <w:rsid w:val="00941588"/>
    <w:rsid w:val="00957C2E"/>
    <w:rsid w:val="00963364"/>
    <w:rsid w:val="00974752"/>
    <w:rsid w:val="009B03DC"/>
    <w:rsid w:val="009B2D6B"/>
    <w:rsid w:val="009D3ACD"/>
    <w:rsid w:val="00A002EF"/>
    <w:rsid w:val="00A02780"/>
    <w:rsid w:val="00A226A5"/>
    <w:rsid w:val="00A704CD"/>
    <w:rsid w:val="00A863ED"/>
    <w:rsid w:val="00AC6D68"/>
    <w:rsid w:val="00AD626B"/>
    <w:rsid w:val="00AE6BC8"/>
    <w:rsid w:val="00B02DAF"/>
    <w:rsid w:val="00B067C2"/>
    <w:rsid w:val="00B2421D"/>
    <w:rsid w:val="00B33AB0"/>
    <w:rsid w:val="00B44E36"/>
    <w:rsid w:val="00B50D23"/>
    <w:rsid w:val="00B82E26"/>
    <w:rsid w:val="00B971C5"/>
    <w:rsid w:val="00BA6413"/>
    <w:rsid w:val="00BE78D4"/>
    <w:rsid w:val="00C167CC"/>
    <w:rsid w:val="00C237EE"/>
    <w:rsid w:val="00C24109"/>
    <w:rsid w:val="00C320B8"/>
    <w:rsid w:val="00C37E93"/>
    <w:rsid w:val="00C44127"/>
    <w:rsid w:val="00C44E3F"/>
    <w:rsid w:val="00C61C19"/>
    <w:rsid w:val="00CB6F57"/>
    <w:rsid w:val="00CD34CA"/>
    <w:rsid w:val="00CE1473"/>
    <w:rsid w:val="00CE449B"/>
    <w:rsid w:val="00D3020F"/>
    <w:rsid w:val="00D34D17"/>
    <w:rsid w:val="00D451C1"/>
    <w:rsid w:val="00D462C5"/>
    <w:rsid w:val="00D715D0"/>
    <w:rsid w:val="00D97A44"/>
    <w:rsid w:val="00DD5185"/>
    <w:rsid w:val="00E1499E"/>
    <w:rsid w:val="00E61311"/>
    <w:rsid w:val="00E657FA"/>
    <w:rsid w:val="00E96A74"/>
    <w:rsid w:val="00EB42E8"/>
    <w:rsid w:val="00F24C98"/>
    <w:rsid w:val="00F576C5"/>
    <w:rsid w:val="00F609CE"/>
    <w:rsid w:val="00F61FC7"/>
    <w:rsid w:val="00F66479"/>
    <w:rsid w:val="00F7640F"/>
    <w:rsid w:val="00FC0CC0"/>
    <w:rsid w:val="00FC1C05"/>
    <w:rsid w:val="00FC7535"/>
    <w:rsid w:val="00FC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4F9D4"/>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spacing w:after="240"/>
      <w:outlineLvl w:val="0"/>
    </w:pPr>
    <w:rPr>
      <w:rFonts w:ascii="Arial" w:hAnsi="Arial"/>
      <w:b/>
      <w:sz w:val="22"/>
      <w:szCs w:val="20"/>
    </w:rPr>
  </w:style>
  <w:style w:type="paragraph" w:customStyle="1" w:styleId="11SOP">
    <w:name w:val="1.1 (SOP)"/>
    <w:basedOn w:val="Normal"/>
    <w:rsid w:val="00F609CE"/>
    <w:pPr>
      <w:numPr>
        <w:ilvl w:val="1"/>
        <w:numId w:val="1"/>
      </w:numPr>
      <w:spacing w:after="2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r.state.wi.us/org/es/science/lc/Outreach/3Guid/-LOD4BOD&amp;TSS.pdf" TargetMode="External"/><Relationship Id="rId3" Type="http://schemas.openxmlformats.org/officeDocument/2006/relationships/settings" Target="settings.xml"/><Relationship Id="rId7" Type="http://schemas.openxmlformats.org/officeDocument/2006/relationships/hyperlink" Target="http://dnr.wi.gov/regulations/labcert/Resourc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nr.state.wi.us/org/es/science/lc/OUTREACH/BODresour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R - DNR</cp:lastModifiedBy>
  <cp:revision>6</cp:revision>
  <dcterms:created xsi:type="dcterms:W3CDTF">2021-09-08T00:08:00Z</dcterms:created>
  <dcterms:modified xsi:type="dcterms:W3CDTF">2021-09-24T18:34:00Z</dcterms:modified>
</cp:coreProperties>
</file>