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6B950" w14:textId="0A969082" w:rsidR="008B5B03" w:rsidRPr="00234FA5" w:rsidRDefault="008B5B03" w:rsidP="008B5B03">
      <w:pPr>
        <w:rPr>
          <w:rFonts w:ascii="Arial Black" w:hAnsi="Arial Black"/>
        </w:rPr>
      </w:pPr>
      <w:r>
        <w:rPr>
          <w:rFonts w:ascii="Arial Black" w:hAnsi="Arial Black"/>
        </w:rPr>
        <w:t xml:space="preserve">Radio Communication Equipment </w:t>
      </w:r>
      <w:r w:rsidR="0074042E">
        <w:rPr>
          <w:rFonts w:ascii="Arial Black" w:hAnsi="Arial Black"/>
        </w:rPr>
        <w:t xml:space="preserve">Ranking Tool             ____________________________ </w:t>
      </w:r>
      <w:r w:rsidR="0074042E" w:rsidRPr="0074042E">
        <w:rPr>
          <w:i/>
          <w:iCs/>
        </w:rPr>
        <w:t>(Applicant)</w:t>
      </w:r>
    </w:p>
    <w:p w14:paraId="2DC00443" w14:textId="7A9950D2" w:rsidR="008B5B03" w:rsidRDefault="008B5B03" w:rsidP="008B5B03"/>
    <w:p w14:paraId="3A703BC8" w14:textId="77777777" w:rsidR="008B5B03" w:rsidRPr="008B5B03" w:rsidRDefault="008B5B03" w:rsidP="008B5B03">
      <w:pPr>
        <w:rPr>
          <w:sz w:val="20"/>
          <w:szCs w:val="20"/>
        </w:rPr>
      </w:pPr>
      <w:r w:rsidRPr="0027123D">
        <w:rPr>
          <w:sz w:val="20"/>
          <w:szCs w:val="20"/>
        </w:rPr>
        <w:t>The purpose of this catego</w:t>
      </w:r>
      <w:r w:rsidRPr="008B5B03">
        <w:rPr>
          <w:sz w:val="20"/>
          <w:szCs w:val="20"/>
        </w:rPr>
        <w:t xml:space="preserve">ry is to enhance communication on the trail system by providing funding for the purchase of equipment needed by trail managers, maintenance staff and safety patrol.  A strong grant application will include details on the type of equipment being purchased, the # of units, cost per unit, capabilities of said units, and intent of use.  </w:t>
      </w:r>
    </w:p>
    <w:p w14:paraId="7EB23F65" w14:textId="77777777" w:rsidR="008B5B03" w:rsidRPr="008B5B03" w:rsidRDefault="008B5B03" w:rsidP="008B5B03">
      <w:pPr>
        <w:rPr>
          <w:sz w:val="20"/>
          <w:szCs w:val="20"/>
        </w:rPr>
      </w:pPr>
    </w:p>
    <w:p w14:paraId="1736FA6F" w14:textId="77777777" w:rsidR="008B5B03" w:rsidRPr="008B5B03" w:rsidRDefault="008B5B03" w:rsidP="008B5B03">
      <w:pPr>
        <w:rPr>
          <w:sz w:val="20"/>
          <w:szCs w:val="20"/>
        </w:rPr>
      </w:pPr>
      <w:r w:rsidRPr="008B5B03">
        <w:rPr>
          <w:b/>
          <w:bCs/>
          <w:sz w:val="20"/>
          <w:szCs w:val="20"/>
        </w:rPr>
        <w:t>Eligible Applicants</w:t>
      </w:r>
      <w:r w:rsidRPr="008B5B03">
        <w:rPr>
          <w:sz w:val="20"/>
          <w:szCs w:val="20"/>
        </w:rPr>
        <w:t xml:space="preserve"> – </w:t>
      </w:r>
      <w:r w:rsidR="003E07D6">
        <w:rPr>
          <w:sz w:val="20"/>
          <w:szCs w:val="20"/>
        </w:rPr>
        <w:t>Local, tribal</w:t>
      </w:r>
      <w:r w:rsidRPr="008B5B03">
        <w:rPr>
          <w:sz w:val="20"/>
          <w:szCs w:val="20"/>
        </w:rPr>
        <w:t xml:space="preserve"> and federal agencies.  Also eligible are non-profit organizations that meet </w:t>
      </w:r>
      <w:hyperlink r:id="rId5" w:history="1">
        <w:r w:rsidRPr="008B5B03">
          <w:rPr>
            <w:rStyle w:val="Hyperlink"/>
            <w:sz w:val="20"/>
            <w:szCs w:val="20"/>
          </w:rPr>
          <w:t>these</w:t>
        </w:r>
      </w:hyperlink>
      <w:r w:rsidRPr="008B5B03">
        <w:rPr>
          <w:sz w:val="20"/>
          <w:szCs w:val="20"/>
        </w:rPr>
        <w:t xml:space="preserve"> eligibility requirements.   </w:t>
      </w:r>
    </w:p>
    <w:p w14:paraId="333227CD" w14:textId="77777777" w:rsidR="008B5B03" w:rsidRPr="008B5B03" w:rsidRDefault="008B5B03" w:rsidP="008B5B03">
      <w:pPr>
        <w:rPr>
          <w:sz w:val="20"/>
          <w:szCs w:val="20"/>
        </w:rPr>
      </w:pPr>
    </w:p>
    <w:p w14:paraId="262DB525" w14:textId="77777777" w:rsidR="008B5B03" w:rsidRPr="008B5B03" w:rsidRDefault="008B5B03" w:rsidP="008B5B03">
      <w:pPr>
        <w:rPr>
          <w:b/>
          <w:bCs/>
          <w:sz w:val="20"/>
          <w:szCs w:val="20"/>
        </w:rPr>
      </w:pPr>
      <w:r w:rsidRPr="008B5B03">
        <w:rPr>
          <w:b/>
          <w:bCs/>
          <w:sz w:val="20"/>
          <w:szCs w:val="20"/>
        </w:rPr>
        <w:t xml:space="preserve">Eligible Items </w:t>
      </w:r>
    </w:p>
    <w:p w14:paraId="428B25D5" w14:textId="77777777" w:rsidR="008B5B03" w:rsidRPr="008B5B03" w:rsidRDefault="008B5B03" w:rsidP="008B5B03">
      <w:pPr>
        <w:pStyle w:val="ListParagraph"/>
        <w:widowControl/>
        <w:numPr>
          <w:ilvl w:val="0"/>
          <w:numId w:val="2"/>
        </w:numPr>
        <w:autoSpaceDE/>
        <w:autoSpaceDN/>
        <w:contextualSpacing/>
        <w:rPr>
          <w:sz w:val="20"/>
          <w:szCs w:val="20"/>
        </w:rPr>
      </w:pPr>
      <w:r w:rsidRPr="008B5B03">
        <w:rPr>
          <w:sz w:val="20"/>
          <w:szCs w:val="20"/>
        </w:rPr>
        <w:t>The purchase of two-way voice communication equipment, radio repeater equipment.</w:t>
      </w:r>
    </w:p>
    <w:p w14:paraId="6F372A9A" w14:textId="77777777" w:rsidR="008B5B03" w:rsidRPr="008B5B03" w:rsidRDefault="008B5B03" w:rsidP="008B5B03">
      <w:pPr>
        <w:pStyle w:val="ListParagraph"/>
        <w:widowControl/>
        <w:numPr>
          <w:ilvl w:val="0"/>
          <w:numId w:val="2"/>
        </w:numPr>
        <w:autoSpaceDE/>
        <w:autoSpaceDN/>
        <w:contextualSpacing/>
        <w:rPr>
          <w:sz w:val="20"/>
          <w:szCs w:val="20"/>
        </w:rPr>
      </w:pPr>
      <w:r w:rsidRPr="008B5B03">
        <w:rPr>
          <w:sz w:val="20"/>
          <w:szCs w:val="20"/>
        </w:rPr>
        <w:t>FCC licensing fees for radio or club/group broadcast license (excluding the cost of individual operating license)</w:t>
      </w:r>
    </w:p>
    <w:p w14:paraId="326A4810" w14:textId="77777777" w:rsidR="008B5B03" w:rsidRPr="008B5B03" w:rsidRDefault="008B5B03" w:rsidP="008B5B03">
      <w:pPr>
        <w:pStyle w:val="ListParagraph"/>
        <w:widowControl/>
        <w:numPr>
          <w:ilvl w:val="0"/>
          <w:numId w:val="2"/>
        </w:numPr>
        <w:autoSpaceDE/>
        <w:autoSpaceDN/>
        <w:contextualSpacing/>
        <w:rPr>
          <w:sz w:val="20"/>
          <w:szCs w:val="20"/>
        </w:rPr>
      </w:pPr>
      <w:r w:rsidRPr="008B5B03">
        <w:rPr>
          <w:sz w:val="20"/>
          <w:szCs w:val="20"/>
        </w:rPr>
        <w:t>Equipment must be for use on a funded off-road ATV/UTV trail system.</w:t>
      </w:r>
    </w:p>
    <w:p w14:paraId="325B59DE" w14:textId="77777777" w:rsidR="008B5B03" w:rsidRPr="008B5B03" w:rsidRDefault="008B5B03" w:rsidP="008B5B03">
      <w:pPr>
        <w:rPr>
          <w:sz w:val="20"/>
          <w:szCs w:val="20"/>
        </w:rPr>
      </w:pPr>
    </w:p>
    <w:p w14:paraId="75935B22" w14:textId="77777777" w:rsidR="008B5B03" w:rsidRPr="008B5B03" w:rsidRDefault="008B5B03" w:rsidP="008B5B03">
      <w:pPr>
        <w:rPr>
          <w:b/>
          <w:bCs/>
          <w:sz w:val="20"/>
          <w:szCs w:val="20"/>
        </w:rPr>
      </w:pPr>
      <w:r w:rsidRPr="008B5B03">
        <w:rPr>
          <w:b/>
          <w:bCs/>
          <w:sz w:val="20"/>
          <w:szCs w:val="20"/>
        </w:rPr>
        <w:t>Ineligible Items</w:t>
      </w:r>
    </w:p>
    <w:p w14:paraId="311C1E1D" w14:textId="77777777" w:rsidR="008B5B03" w:rsidRPr="008B5B03" w:rsidRDefault="008B5B03" w:rsidP="008B5B03">
      <w:pPr>
        <w:pStyle w:val="ListParagraph"/>
        <w:widowControl/>
        <w:numPr>
          <w:ilvl w:val="0"/>
          <w:numId w:val="3"/>
        </w:numPr>
        <w:autoSpaceDE/>
        <w:autoSpaceDN/>
        <w:contextualSpacing/>
        <w:rPr>
          <w:sz w:val="20"/>
          <w:szCs w:val="20"/>
        </w:rPr>
      </w:pPr>
      <w:r w:rsidRPr="008B5B03">
        <w:rPr>
          <w:sz w:val="20"/>
          <w:szCs w:val="20"/>
        </w:rPr>
        <w:t>Cellular Phones</w:t>
      </w:r>
    </w:p>
    <w:p w14:paraId="1A3C5495" w14:textId="3E54160E" w:rsidR="0074042E" w:rsidRPr="0074042E" w:rsidRDefault="008B5B03" w:rsidP="008B5B03">
      <w:pPr>
        <w:pStyle w:val="ListParagraph"/>
        <w:widowControl/>
        <w:numPr>
          <w:ilvl w:val="0"/>
          <w:numId w:val="3"/>
        </w:numPr>
        <w:autoSpaceDE/>
        <w:autoSpaceDN/>
        <w:contextualSpacing/>
        <w:rPr>
          <w:sz w:val="20"/>
          <w:szCs w:val="20"/>
        </w:rPr>
      </w:pPr>
      <w:r w:rsidRPr="008B5B03">
        <w:rPr>
          <w:sz w:val="20"/>
          <w:szCs w:val="20"/>
        </w:rPr>
        <w:t>Communication Tower Construction</w:t>
      </w:r>
    </w:p>
    <w:p w14:paraId="7B51D392" w14:textId="77777777" w:rsidR="0074042E" w:rsidRPr="008B5B03" w:rsidRDefault="0074042E" w:rsidP="008B5B03">
      <w:pPr>
        <w:rPr>
          <w:sz w:val="20"/>
          <w:szCs w:val="20"/>
        </w:rPr>
      </w:pPr>
    </w:p>
    <w:p w14:paraId="5B61E1B7" w14:textId="77777777" w:rsidR="008B5B03" w:rsidRDefault="008B5B03" w:rsidP="008B5B03">
      <w:pPr>
        <w:pStyle w:val="Pa0"/>
        <w:rPr>
          <w:color w:val="211D1E"/>
          <w:sz w:val="22"/>
          <w:szCs w:val="22"/>
        </w:rPr>
      </w:pPr>
      <w:r w:rsidRPr="0027123D">
        <w:rPr>
          <w:b/>
          <w:color w:val="231F20"/>
          <w:sz w:val="20"/>
          <w:szCs w:val="20"/>
        </w:rPr>
        <w:t xml:space="preserve">Scoring Guidelines for Applicant: </w:t>
      </w:r>
      <w:r w:rsidRPr="008B5B03">
        <w:rPr>
          <w:rStyle w:val="A0"/>
          <w:sz w:val="20"/>
          <w:szCs w:val="20"/>
        </w:rPr>
        <w:t xml:space="preserve">Provide any additional documents not requested as part of the general application to substantiate your points. </w:t>
      </w:r>
    </w:p>
    <w:p w14:paraId="551D0B56" w14:textId="77777777" w:rsidR="008B5B03" w:rsidRPr="0027123D" w:rsidRDefault="008B5B03" w:rsidP="008B5B03">
      <w:pPr>
        <w:pStyle w:val="BodyText"/>
        <w:spacing w:before="1" w:line="249" w:lineRule="auto"/>
        <w:ind w:left="0" w:right="233"/>
        <w:jc w:val="both"/>
        <w:rPr>
          <w:sz w:val="20"/>
          <w:szCs w:val="20"/>
        </w:rPr>
      </w:pPr>
    </w:p>
    <w:p w14:paraId="5648C49F" w14:textId="77777777" w:rsidR="008B5B03" w:rsidRPr="0027123D" w:rsidRDefault="008B5B03" w:rsidP="008B5B03">
      <w:pPr>
        <w:pStyle w:val="BodyText"/>
        <w:spacing w:before="1" w:line="249" w:lineRule="auto"/>
        <w:ind w:left="0" w:right="130"/>
        <w:rPr>
          <w:sz w:val="20"/>
          <w:szCs w:val="20"/>
        </w:rPr>
      </w:pPr>
      <w:r w:rsidRPr="0027123D">
        <w:rPr>
          <w:b/>
          <w:color w:val="231F20"/>
          <w:sz w:val="20"/>
          <w:szCs w:val="20"/>
        </w:rPr>
        <w:t>Scoring Guidelines for the Council</w:t>
      </w:r>
      <w:r w:rsidRPr="0027123D">
        <w:rPr>
          <w:color w:val="231F20"/>
          <w:sz w:val="20"/>
          <w:szCs w:val="20"/>
        </w:rPr>
        <w:t xml:space="preserve">: These are guidelines and will be reviewed by the Council yearly after each funding meeting. </w:t>
      </w:r>
      <w:r w:rsidR="00566E8A">
        <w:rPr>
          <w:color w:val="231F20"/>
          <w:sz w:val="20"/>
          <w:szCs w:val="20"/>
        </w:rPr>
        <w:t xml:space="preserve"> </w:t>
      </w:r>
    </w:p>
    <w:p w14:paraId="40ABF48F" w14:textId="77777777" w:rsidR="008B5B03" w:rsidRPr="0027123D" w:rsidRDefault="008B5B03" w:rsidP="008B5B03">
      <w:pPr>
        <w:pStyle w:val="BodyText"/>
        <w:spacing w:before="6"/>
        <w:ind w:left="0"/>
        <w:rPr>
          <w:sz w:val="20"/>
          <w:szCs w:val="20"/>
        </w:rPr>
      </w:pPr>
    </w:p>
    <w:tbl>
      <w:tblPr>
        <w:tblStyle w:val="TableGrid"/>
        <w:tblW w:w="0" w:type="auto"/>
        <w:tblInd w:w="198" w:type="dxa"/>
        <w:tblLook w:val="04A0" w:firstRow="1" w:lastRow="0" w:firstColumn="1" w:lastColumn="0" w:noHBand="0" w:noVBand="1"/>
      </w:tblPr>
      <w:tblGrid>
        <w:gridCol w:w="10832"/>
      </w:tblGrid>
      <w:tr w:rsidR="008B5B03" w:rsidRPr="0027123D" w14:paraId="4E2236E8" w14:textId="77777777" w:rsidTr="00887162">
        <w:tc>
          <w:tcPr>
            <w:tcW w:w="10890" w:type="dxa"/>
          </w:tcPr>
          <w:p w14:paraId="1FD1E1E6" w14:textId="77777777" w:rsidR="008B5B03" w:rsidRPr="0027123D" w:rsidRDefault="008B5B03" w:rsidP="008B5B03">
            <w:pPr>
              <w:pStyle w:val="BodyText"/>
              <w:spacing w:before="6" w:after="240" w:line="276" w:lineRule="auto"/>
              <w:ind w:left="0"/>
              <w:rPr>
                <w:sz w:val="20"/>
                <w:szCs w:val="20"/>
              </w:rPr>
            </w:pPr>
            <w:r w:rsidRPr="0027123D">
              <w:rPr>
                <w:b/>
                <w:bCs/>
                <w:sz w:val="20"/>
                <w:szCs w:val="20"/>
              </w:rPr>
              <w:t>Gateway Question:</w:t>
            </w:r>
            <w:r w:rsidRPr="0027123D">
              <w:rPr>
                <w:sz w:val="20"/>
                <w:szCs w:val="20"/>
              </w:rPr>
              <w:t xml:space="preserve"> Please elaborate on the</w:t>
            </w:r>
            <w:r>
              <w:rPr>
                <w:sz w:val="20"/>
                <w:szCs w:val="20"/>
              </w:rPr>
              <w:t xml:space="preserve"> intent of use, detailed specs of equipment, intended users, etc. </w:t>
            </w:r>
            <w:r w:rsidRPr="0027123D">
              <w:rPr>
                <w:sz w:val="20"/>
                <w:szCs w:val="20"/>
              </w:rPr>
              <w:t>in the application narrative.</w:t>
            </w:r>
          </w:p>
          <w:p w14:paraId="51D40720" w14:textId="0AB39C3C" w:rsidR="008B5B03" w:rsidRPr="0027123D" w:rsidRDefault="00CF3437" w:rsidP="008B5B03">
            <w:pPr>
              <w:pStyle w:val="BodyText"/>
              <w:spacing w:before="6" w:after="240" w:line="276" w:lineRule="auto"/>
              <w:ind w:left="0"/>
              <w:rPr>
                <w:sz w:val="20"/>
                <w:szCs w:val="20"/>
              </w:rPr>
            </w:pPr>
            <w:r>
              <w:rPr>
                <w:noProof/>
                <w:sz w:val="20"/>
                <w:szCs w:val="20"/>
              </w:rPr>
              <mc:AlternateContent>
                <mc:Choice Requires="wps">
                  <w:drawing>
                    <wp:anchor distT="0" distB="0" distL="114300" distR="114300" simplePos="0" relativeHeight="251658240" behindDoc="0" locked="0" layoutInCell="1" allowOverlap="1" wp14:anchorId="03225A07" wp14:editId="41984C4A">
                      <wp:simplePos x="0" y="0"/>
                      <wp:positionH relativeFrom="column">
                        <wp:posOffset>-3175</wp:posOffset>
                      </wp:positionH>
                      <wp:positionV relativeFrom="paragraph">
                        <wp:posOffset>7620</wp:posOffset>
                      </wp:positionV>
                      <wp:extent cx="112395" cy="123190"/>
                      <wp:effectExtent l="0" t="0" r="190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 cy="12319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58FAF7" id="Rectangle 1" o:spid="_x0000_s1026" style="position:absolute;margin-left:-.25pt;margin-top:.6pt;width:8.85pt;height: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" filled="f" strokecolor="black [3213]" strokeweight="1.5pt">
                      <v:path arrowok="t"/>
                    </v:rect>
                  </w:pict>
                </mc:Fallback>
              </mc:AlternateContent>
            </w:r>
            <w:r w:rsidR="008B5B03" w:rsidRPr="0027123D">
              <w:rPr>
                <w:sz w:val="20"/>
                <w:szCs w:val="20"/>
              </w:rPr>
              <w:t xml:space="preserve">      </w:t>
            </w:r>
            <w:r w:rsidR="008B5B03">
              <w:rPr>
                <w:sz w:val="20"/>
                <w:szCs w:val="20"/>
              </w:rPr>
              <w:t>Equipment will be for use in support of</w:t>
            </w:r>
            <w:r w:rsidR="008B5B03" w:rsidRPr="0027123D">
              <w:rPr>
                <w:sz w:val="20"/>
                <w:szCs w:val="20"/>
              </w:rPr>
              <w:t xml:space="preserve"> </w:t>
            </w:r>
            <w:r w:rsidR="008B5B03">
              <w:rPr>
                <w:sz w:val="20"/>
                <w:szCs w:val="20"/>
              </w:rPr>
              <w:t xml:space="preserve">an existing </w:t>
            </w:r>
            <w:r w:rsidR="008B5B03" w:rsidRPr="0027123D">
              <w:rPr>
                <w:sz w:val="20"/>
                <w:szCs w:val="20"/>
              </w:rPr>
              <w:t xml:space="preserve">off-road </w:t>
            </w:r>
            <w:r w:rsidR="008B5B03">
              <w:rPr>
                <w:sz w:val="20"/>
                <w:szCs w:val="20"/>
              </w:rPr>
              <w:t>ATV/UTV trail system</w:t>
            </w:r>
          </w:p>
        </w:tc>
      </w:tr>
    </w:tbl>
    <w:tbl>
      <w:tblPr>
        <w:tblW w:w="0" w:type="auto"/>
        <w:tblInd w:w="115"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69"/>
        <w:gridCol w:w="8438"/>
        <w:gridCol w:w="991"/>
        <w:gridCol w:w="995"/>
      </w:tblGrid>
      <w:tr w:rsidR="00C7174E" w14:paraId="6945889D" w14:textId="77777777" w:rsidTr="00566E8A">
        <w:trPr>
          <w:trHeight w:val="520"/>
        </w:trPr>
        <w:tc>
          <w:tcPr>
            <w:tcW w:w="369" w:type="dxa"/>
            <w:tcBorders>
              <w:top w:val="nil"/>
              <w:left w:val="nil"/>
              <w:right w:val="nil"/>
            </w:tcBorders>
          </w:tcPr>
          <w:p w14:paraId="11A14BC9" w14:textId="77777777" w:rsidR="00C7174E" w:rsidRDefault="00C7174E">
            <w:pPr>
              <w:pStyle w:val="TableParagraph"/>
              <w:rPr>
                <w:rFonts w:ascii="Times New Roman"/>
              </w:rPr>
            </w:pPr>
          </w:p>
        </w:tc>
        <w:tc>
          <w:tcPr>
            <w:tcW w:w="8438" w:type="dxa"/>
            <w:tcBorders>
              <w:top w:val="nil"/>
              <w:left w:val="nil"/>
              <w:right w:val="nil"/>
            </w:tcBorders>
          </w:tcPr>
          <w:p w14:paraId="73E507E7" w14:textId="77777777" w:rsidR="00C7174E" w:rsidRDefault="00C7174E">
            <w:pPr>
              <w:pStyle w:val="TableParagraph"/>
              <w:spacing w:before="3"/>
            </w:pPr>
          </w:p>
          <w:p w14:paraId="346D175D" w14:textId="77777777" w:rsidR="00C7174E" w:rsidRDefault="00566E8A">
            <w:pPr>
              <w:pStyle w:val="TableParagraph"/>
              <w:spacing w:before="1"/>
              <w:ind w:left="3752" w:right="3752"/>
              <w:jc w:val="center"/>
            </w:pPr>
            <w:r>
              <w:rPr>
                <w:color w:val="231F20"/>
              </w:rPr>
              <w:t>Category</w:t>
            </w:r>
          </w:p>
        </w:tc>
        <w:tc>
          <w:tcPr>
            <w:tcW w:w="991" w:type="dxa"/>
            <w:tcBorders>
              <w:top w:val="nil"/>
              <w:left w:val="nil"/>
              <w:right w:val="nil"/>
            </w:tcBorders>
          </w:tcPr>
          <w:p w14:paraId="58261ABC" w14:textId="77777777" w:rsidR="00C7174E" w:rsidRDefault="00566E8A">
            <w:pPr>
              <w:pStyle w:val="TableParagraph"/>
              <w:spacing w:line="246" w:lineRule="exact"/>
              <w:ind w:left="59" w:right="59"/>
              <w:jc w:val="center"/>
            </w:pPr>
            <w:r>
              <w:rPr>
                <w:color w:val="231F20"/>
              </w:rPr>
              <w:t>Possible</w:t>
            </w:r>
          </w:p>
          <w:p w14:paraId="48DC70DE" w14:textId="77777777" w:rsidR="00C7174E" w:rsidRDefault="00566E8A">
            <w:pPr>
              <w:pStyle w:val="TableParagraph"/>
              <w:spacing w:before="11"/>
              <w:ind w:left="59" w:right="59"/>
              <w:jc w:val="center"/>
            </w:pPr>
            <w:r>
              <w:rPr>
                <w:color w:val="231F20"/>
              </w:rPr>
              <w:t>Points</w:t>
            </w:r>
          </w:p>
        </w:tc>
        <w:tc>
          <w:tcPr>
            <w:tcW w:w="995" w:type="dxa"/>
            <w:tcBorders>
              <w:top w:val="nil"/>
              <w:left w:val="nil"/>
              <w:right w:val="nil"/>
            </w:tcBorders>
          </w:tcPr>
          <w:p w14:paraId="4BE2D4EE" w14:textId="77777777" w:rsidR="00C7174E" w:rsidRDefault="00566E8A">
            <w:pPr>
              <w:pStyle w:val="TableParagraph"/>
              <w:spacing w:line="246" w:lineRule="exact"/>
              <w:ind w:left="189"/>
            </w:pPr>
            <w:r>
              <w:rPr>
                <w:color w:val="231F20"/>
              </w:rPr>
              <w:t>Actual</w:t>
            </w:r>
          </w:p>
          <w:p w14:paraId="580F97F5" w14:textId="77777777" w:rsidR="00C7174E" w:rsidRDefault="00566E8A">
            <w:pPr>
              <w:pStyle w:val="TableParagraph"/>
              <w:spacing w:before="11"/>
              <w:ind w:left="189"/>
            </w:pPr>
            <w:r>
              <w:rPr>
                <w:color w:val="231F20"/>
              </w:rPr>
              <w:t>Points</w:t>
            </w:r>
          </w:p>
        </w:tc>
      </w:tr>
      <w:tr w:rsidR="00F32732" w14:paraId="18A84FBD" w14:textId="77777777" w:rsidTr="00E0222F">
        <w:trPr>
          <w:trHeight w:val="300"/>
        </w:trPr>
        <w:tc>
          <w:tcPr>
            <w:tcW w:w="369" w:type="dxa"/>
          </w:tcPr>
          <w:p w14:paraId="2B96DD7B" w14:textId="77777777" w:rsidR="00F32732" w:rsidRDefault="00F32732">
            <w:pPr>
              <w:pStyle w:val="TableParagraph"/>
              <w:spacing w:before="24"/>
              <w:ind w:right="68"/>
              <w:jc w:val="right"/>
              <w:rPr>
                <w:b/>
              </w:rPr>
            </w:pPr>
            <w:bookmarkStart w:id="0" w:name="_Hlk59514008"/>
            <w:r>
              <w:rPr>
                <w:b/>
                <w:color w:val="231F20"/>
              </w:rPr>
              <w:t>1</w:t>
            </w:r>
          </w:p>
        </w:tc>
        <w:tc>
          <w:tcPr>
            <w:tcW w:w="8438" w:type="dxa"/>
          </w:tcPr>
          <w:p w14:paraId="55BB877B" w14:textId="77777777" w:rsidR="00F32732" w:rsidRDefault="00F32732">
            <w:pPr>
              <w:pStyle w:val="TableParagraph"/>
              <w:spacing w:before="24"/>
              <w:ind w:left="70"/>
              <w:rPr>
                <w:b/>
              </w:rPr>
            </w:pPr>
            <w:r>
              <w:rPr>
                <w:b/>
                <w:color w:val="231F20"/>
              </w:rPr>
              <w:t xml:space="preserve">Reason for Communications  </w:t>
            </w:r>
            <w:r w:rsidRPr="00F32732">
              <w:rPr>
                <w:bCs/>
                <w:i/>
                <w:iCs/>
                <w:color w:val="231F20"/>
              </w:rPr>
              <w:t>(check all that apply)</w:t>
            </w:r>
          </w:p>
        </w:tc>
        <w:tc>
          <w:tcPr>
            <w:tcW w:w="1986" w:type="dxa"/>
            <w:gridSpan w:val="2"/>
            <w:shd w:val="clear" w:color="auto" w:fill="939598"/>
          </w:tcPr>
          <w:p w14:paraId="164964AF" w14:textId="303E775D" w:rsidR="00F32732" w:rsidRPr="00F32732" w:rsidRDefault="00F32732" w:rsidP="00F32732">
            <w:pPr>
              <w:pStyle w:val="TableParagraph"/>
              <w:jc w:val="center"/>
            </w:pPr>
            <w:r>
              <w:t xml:space="preserve">Max Points: </w:t>
            </w:r>
            <w:r w:rsidR="0000640A">
              <w:t>6</w:t>
            </w:r>
          </w:p>
        </w:tc>
      </w:tr>
      <w:tr w:rsidR="00C7174E" w14:paraId="3306F3B4" w14:textId="77777777" w:rsidTr="00566E8A">
        <w:trPr>
          <w:trHeight w:val="300"/>
        </w:trPr>
        <w:tc>
          <w:tcPr>
            <w:tcW w:w="369" w:type="dxa"/>
          </w:tcPr>
          <w:p w14:paraId="0C07C80D" w14:textId="77777777" w:rsidR="00C7174E" w:rsidRDefault="00C7174E">
            <w:pPr>
              <w:pStyle w:val="TableParagraph"/>
              <w:rPr>
                <w:rFonts w:ascii="Times New Roman"/>
              </w:rPr>
            </w:pPr>
            <w:bookmarkStart w:id="1" w:name="_Hlk59513995"/>
            <w:bookmarkEnd w:id="0"/>
          </w:p>
        </w:tc>
        <w:tc>
          <w:tcPr>
            <w:tcW w:w="8438" w:type="dxa"/>
          </w:tcPr>
          <w:p w14:paraId="21924BA7" w14:textId="77777777" w:rsidR="00C7174E" w:rsidRDefault="00566E8A">
            <w:pPr>
              <w:pStyle w:val="TableParagraph"/>
              <w:spacing w:before="24"/>
              <w:ind w:left="70"/>
            </w:pPr>
            <w:r>
              <w:rPr>
                <w:color w:val="231F20"/>
              </w:rPr>
              <w:t>Communicates with Trail Ambassador program</w:t>
            </w:r>
          </w:p>
        </w:tc>
        <w:tc>
          <w:tcPr>
            <w:tcW w:w="991" w:type="dxa"/>
          </w:tcPr>
          <w:p w14:paraId="046D109A" w14:textId="632CAE00" w:rsidR="00C7174E" w:rsidRDefault="0000640A">
            <w:pPr>
              <w:pStyle w:val="TableParagraph"/>
              <w:spacing w:before="24"/>
              <w:jc w:val="center"/>
            </w:pPr>
            <w:r>
              <w:rPr>
                <w:color w:val="231F20"/>
              </w:rPr>
              <w:t>2</w:t>
            </w:r>
          </w:p>
        </w:tc>
        <w:tc>
          <w:tcPr>
            <w:tcW w:w="995" w:type="dxa"/>
          </w:tcPr>
          <w:p w14:paraId="672289A2" w14:textId="77777777" w:rsidR="00C7174E" w:rsidRDefault="00C7174E">
            <w:pPr>
              <w:pStyle w:val="TableParagraph"/>
              <w:rPr>
                <w:rFonts w:ascii="Times New Roman"/>
              </w:rPr>
            </w:pPr>
          </w:p>
        </w:tc>
      </w:tr>
      <w:tr w:rsidR="00C7174E" w14:paraId="1D6D7560" w14:textId="77777777" w:rsidTr="00566E8A">
        <w:trPr>
          <w:trHeight w:val="300"/>
        </w:trPr>
        <w:tc>
          <w:tcPr>
            <w:tcW w:w="369" w:type="dxa"/>
          </w:tcPr>
          <w:p w14:paraId="2CC010CA" w14:textId="77777777" w:rsidR="00C7174E" w:rsidRDefault="00C7174E">
            <w:pPr>
              <w:pStyle w:val="TableParagraph"/>
              <w:rPr>
                <w:rFonts w:ascii="Times New Roman"/>
              </w:rPr>
            </w:pPr>
          </w:p>
        </w:tc>
        <w:tc>
          <w:tcPr>
            <w:tcW w:w="8438" w:type="dxa"/>
          </w:tcPr>
          <w:p w14:paraId="5F50EB66" w14:textId="77777777" w:rsidR="00C7174E" w:rsidRDefault="00566E8A">
            <w:pPr>
              <w:pStyle w:val="TableParagraph"/>
              <w:spacing w:before="24"/>
              <w:ind w:left="70"/>
            </w:pPr>
            <w:r>
              <w:rPr>
                <w:color w:val="231F20"/>
              </w:rPr>
              <w:t>Communicates with WISCOM / WEM systems</w:t>
            </w:r>
          </w:p>
        </w:tc>
        <w:tc>
          <w:tcPr>
            <w:tcW w:w="991" w:type="dxa"/>
          </w:tcPr>
          <w:p w14:paraId="3E6395FA" w14:textId="08A8E274" w:rsidR="00C7174E" w:rsidRDefault="0000640A">
            <w:pPr>
              <w:pStyle w:val="TableParagraph"/>
              <w:spacing w:before="24"/>
              <w:jc w:val="center"/>
            </w:pPr>
            <w:r>
              <w:rPr>
                <w:color w:val="231F20"/>
              </w:rPr>
              <w:t>2</w:t>
            </w:r>
          </w:p>
        </w:tc>
        <w:tc>
          <w:tcPr>
            <w:tcW w:w="995" w:type="dxa"/>
          </w:tcPr>
          <w:p w14:paraId="0D7D5D35" w14:textId="77777777" w:rsidR="00C7174E" w:rsidRDefault="00C7174E">
            <w:pPr>
              <w:pStyle w:val="TableParagraph"/>
              <w:rPr>
                <w:rFonts w:ascii="Times New Roman"/>
              </w:rPr>
            </w:pPr>
          </w:p>
        </w:tc>
      </w:tr>
      <w:tr w:rsidR="00C7174E" w14:paraId="611887A8" w14:textId="77777777" w:rsidTr="00566E8A">
        <w:trPr>
          <w:trHeight w:val="300"/>
        </w:trPr>
        <w:tc>
          <w:tcPr>
            <w:tcW w:w="369" w:type="dxa"/>
          </w:tcPr>
          <w:p w14:paraId="0B3CA36B" w14:textId="77777777" w:rsidR="00C7174E" w:rsidRDefault="00C7174E">
            <w:pPr>
              <w:pStyle w:val="TableParagraph"/>
              <w:rPr>
                <w:rFonts w:ascii="Times New Roman"/>
              </w:rPr>
            </w:pPr>
          </w:p>
        </w:tc>
        <w:tc>
          <w:tcPr>
            <w:tcW w:w="8438" w:type="dxa"/>
          </w:tcPr>
          <w:p w14:paraId="3055F48C" w14:textId="77777777" w:rsidR="00C7174E" w:rsidRDefault="00566E8A">
            <w:pPr>
              <w:pStyle w:val="TableParagraph"/>
              <w:spacing w:before="24"/>
              <w:ind w:left="70"/>
            </w:pPr>
            <w:r>
              <w:rPr>
                <w:color w:val="231F20"/>
              </w:rPr>
              <w:t>Communicates with county law enforcement / emergency services</w:t>
            </w:r>
          </w:p>
        </w:tc>
        <w:tc>
          <w:tcPr>
            <w:tcW w:w="991" w:type="dxa"/>
          </w:tcPr>
          <w:p w14:paraId="6C936CEF" w14:textId="08BFCE40" w:rsidR="00C7174E" w:rsidRDefault="0000640A">
            <w:pPr>
              <w:pStyle w:val="TableParagraph"/>
              <w:spacing w:before="24"/>
              <w:jc w:val="center"/>
            </w:pPr>
            <w:r>
              <w:rPr>
                <w:color w:val="231F20"/>
              </w:rPr>
              <w:t>1</w:t>
            </w:r>
          </w:p>
        </w:tc>
        <w:tc>
          <w:tcPr>
            <w:tcW w:w="995" w:type="dxa"/>
          </w:tcPr>
          <w:p w14:paraId="6EC6F100" w14:textId="77777777" w:rsidR="00C7174E" w:rsidRDefault="00C7174E">
            <w:pPr>
              <w:pStyle w:val="TableParagraph"/>
              <w:rPr>
                <w:rFonts w:ascii="Times New Roman"/>
              </w:rPr>
            </w:pPr>
          </w:p>
        </w:tc>
      </w:tr>
      <w:tr w:rsidR="00C7174E" w14:paraId="0F325E71" w14:textId="77777777" w:rsidTr="00566E8A">
        <w:trPr>
          <w:trHeight w:val="300"/>
        </w:trPr>
        <w:tc>
          <w:tcPr>
            <w:tcW w:w="369" w:type="dxa"/>
          </w:tcPr>
          <w:p w14:paraId="05191F36" w14:textId="77777777" w:rsidR="00C7174E" w:rsidRDefault="00C7174E">
            <w:pPr>
              <w:pStyle w:val="TableParagraph"/>
              <w:rPr>
                <w:rFonts w:ascii="Times New Roman"/>
              </w:rPr>
            </w:pPr>
          </w:p>
        </w:tc>
        <w:tc>
          <w:tcPr>
            <w:tcW w:w="8438" w:type="dxa"/>
          </w:tcPr>
          <w:p w14:paraId="2FCF12AA" w14:textId="77777777" w:rsidR="00C7174E" w:rsidRDefault="00566E8A">
            <w:pPr>
              <w:pStyle w:val="TableParagraph"/>
              <w:spacing w:before="24"/>
              <w:ind w:left="70"/>
            </w:pPr>
            <w:r>
              <w:rPr>
                <w:color w:val="231F20"/>
              </w:rPr>
              <w:t>Communicates with club groomers</w:t>
            </w:r>
          </w:p>
        </w:tc>
        <w:tc>
          <w:tcPr>
            <w:tcW w:w="991" w:type="dxa"/>
          </w:tcPr>
          <w:p w14:paraId="360BD881" w14:textId="6E4261DA" w:rsidR="00C7174E" w:rsidRDefault="0000640A">
            <w:pPr>
              <w:pStyle w:val="TableParagraph"/>
              <w:spacing w:before="24"/>
              <w:jc w:val="center"/>
            </w:pPr>
            <w:r>
              <w:rPr>
                <w:color w:val="231F20"/>
              </w:rPr>
              <w:t>1</w:t>
            </w:r>
          </w:p>
        </w:tc>
        <w:tc>
          <w:tcPr>
            <w:tcW w:w="995" w:type="dxa"/>
          </w:tcPr>
          <w:p w14:paraId="7F7D910B" w14:textId="77777777" w:rsidR="00C7174E" w:rsidRDefault="00C7174E">
            <w:pPr>
              <w:pStyle w:val="TableParagraph"/>
              <w:rPr>
                <w:rFonts w:ascii="Times New Roman"/>
              </w:rPr>
            </w:pPr>
          </w:p>
        </w:tc>
      </w:tr>
      <w:bookmarkEnd w:id="1"/>
      <w:tr w:rsidR="00F32732" w14:paraId="754E41E2" w14:textId="77777777" w:rsidTr="0073303E">
        <w:trPr>
          <w:trHeight w:val="300"/>
        </w:trPr>
        <w:tc>
          <w:tcPr>
            <w:tcW w:w="369" w:type="dxa"/>
          </w:tcPr>
          <w:p w14:paraId="1A5DC9E1" w14:textId="77777777" w:rsidR="00F32732" w:rsidRDefault="00F32732">
            <w:pPr>
              <w:pStyle w:val="TableParagraph"/>
              <w:spacing w:before="24"/>
              <w:ind w:right="68"/>
              <w:jc w:val="right"/>
              <w:rPr>
                <w:b/>
              </w:rPr>
            </w:pPr>
            <w:r>
              <w:rPr>
                <w:b/>
                <w:color w:val="231F20"/>
              </w:rPr>
              <w:t>2</w:t>
            </w:r>
          </w:p>
        </w:tc>
        <w:tc>
          <w:tcPr>
            <w:tcW w:w="8438" w:type="dxa"/>
          </w:tcPr>
          <w:p w14:paraId="1B167264" w14:textId="77777777" w:rsidR="00F32732" w:rsidRDefault="00F32732">
            <w:pPr>
              <w:pStyle w:val="TableParagraph"/>
              <w:spacing w:before="24"/>
              <w:ind w:left="70"/>
              <w:rPr>
                <w:b/>
              </w:rPr>
            </w:pPr>
            <w:r>
              <w:rPr>
                <w:b/>
                <w:color w:val="231F20"/>
              </w:rPr>
              <w:t xml:space="preserve">Area of Coverage </w:t>
            </w:r>
            <w:r w:rsidRPr="00F32732">
              <w:rPr>
                <w:bCs/>
                <w:i/>
                <w:iCs/>
                <w:color w:val="231F20"/>
              </w:rPr>
              <w:t>(choose one)</w:t>
            </w:r>
          </w:p>
        </w:tc>
        <w:tc>
          <w:tcPr>
            <w:tcW w:w="1986" w:type="dxa"/>
            <w:gridSpan w:val="2"/>
            <w:shd w:val="clear" w:color="auto" w:fill="939598"/>
          </w:tcPr>
          <w:p w14:paraId="472F1BE7" w14:textId="23AF450C" w:rsidR="00F32732" w:rsidRPr="00F32732" w:rsidRDefault="00F32732" w:rsidP="00F32732">
            <w:pPr>
              <w:pStyle w:val="TableParagraph"/>
              <w:jc w:val="center"/>
            </w:pPr>
            <w:r w:rsidRPr="00F32732">
              <w:t xml:space="preserve">Max Points: </w:t>
            </w:r>
            <w:r w:rsidR="0000640A">
              <w:t>3</w:t>
            </w:r>
          </w:p>
        </w:tc>
      </w:tr>
      <w:tr w:rsidR="003E07D6" w14:paraId="6DFB41E3" w14:textId="77777777" w:rsidTr="00566E8A">
        <w:trPr>
          <w:trHeight w:val="300"/>
        </w:trPr>
        <w:tc>
          <w:tcPr>
            <w:tcW w:w="369" w:type="dxa"/>
          </w:tcPr>
          <w:p w14:paraId="56427A8E" w14:textId="77777777" w:rsidR="003E07D6" w:rsidRDefault="003E07D6">
            <w:pPr>
              <w:pStyle w:val="TableParagraph"/>
              <w:rPr>
                <w:rFonts w:ascii="Times New Roman"/>
              </w:rPr>
            </w:pPr>
          </w:p>
        </w:tc>
        <w:tc>
          <w:tcPr>
            <w:tcW w:w="8438" w:type="dxa"/>
          </w:tcPr>
          <w:p w14:paraId="4F647260" w14:textId="2D387772" w:rsidR="003E07D6" w:rsidRDefault="003E07D6">
            <w:pPr>
              <w:pStyle w:val="TableParagraph"/>
              <w:spacing w:before="24"/>
              <w:ind w:left="70"/>
              <w:rPr>
                <w:color w:val="231F20"/>
              </w:rPr>
            </w:pPr>
            <w:r>
              <w:rPr>
                <w:color w:val="231F20"/>
              </w:rPr>
              <w:t>Internet connection</w:t>
            </w:r>
            <w:r w:rsidR="006A7A33">
              <w:rPr>
                <w:color w:val="231F20"/>
              </w:rPr>
              <w:t>, and below:</w:t>
            </w:r>
          </w:p>
        </w:tc>
        <w:tc>
          <w:tcPr>
            <w:tcW w:w="991" w:type="dxa"/>
          </w:tcPr>
          <w:p w14:paraId="5B84B014" w14:textId="685D09AA" w:rsidR="003E07D6" w:rsidRDefault="0000640A">
            <w:pPr>
              <w:pStyle w:val="TableParagraph"/>
              <w:spacing w:before="24"/>
              <w:jc w:val="center"/>
              <w:rPr>
                <w:color w:val="231F20"/>
              </w:rPr>
            </w:pPr>
            <w:r>
              <w:rPr>
                <w:color w:val="231F20"/>
              </w:rPr>
              <w:t>3</w:t>
            </w:r>
          </w:p>
        </w:tc>
        <w:tc>
          <w:tcPr>
            <w:tcW w:w="995" w:type="dxa"/>
          </w:tcPr>
          <w:p w14:paraId="0C63DBFD" w14:textId="77777777" w:rsidR="003E07D6" w:rsidRDefault="003E07D6">
            <w:pPr>
              <w:pStyle w:val="TableParagraph"/>
              <w:rPr>
                <w:rFonts w:ascii="Times New Roman"/>
              </w:rPr>
            </w:pPr>
          </w:p>
        </w:tc>
      </w:tr>
      <w:tr w:rsidR="00C7174E" w14:paraId="1FB81303" w14:textId="77777777" w:rsidTr="00566E8A">
        <w:trPr>
          <w:trHeight w:val="300"/>
        </w:trPr>
        <w:tc>
          <w:tcPr>
            <w:tcW w:w="369" w:type="dxa"/>
          </w:tcPr>
          <w:p w14:paraId="5B1B9E85" w14:textId="77777777" w:rsidR="00C7174E" w:rsidRDefault="00C7174E">
            <w:pPr>
              <w:pStyle w:val="TableParagraph"/>
              <w:rPr>
                <w:rFonts w:ascii="Times New Roman"/>
              </w:rPr>
            </w:pPr>
          </w:p>
        </w:tc>
        <w:tc>
          <w:tcPr>
            <w:tcW w:w="8438" w:type="dxa"/>
          </w:tcPr>
          <w:p w14:paraId="4D9D344D" w14:textId="1D2080F2" w:rsidR="00C7174E" w:rsidRDefault="00566E8A">
            <w:pPr>
              <w:pStyle w:val="TableParagraph"/>
              <w:spacing w:before="24"/>
              <w:ind w:left="70"/>
            </w:pPr>
            <w:r>
              <w:rPr>
                <w:color w:val="231F20"/>
              </w:rPr>
              <w:t>Statewide</w:t>
            </w:r>
            <w:r w:rsidR="006A7A33">
              <w:rPr>
                <w:color w:val="231F20"/>
              </w:rPr>
              <w:t>, and below:</w:t>
            </w:r>
          </w:p>
        </w:tc>
        <w:tc>
          <w:tcPr>
            <w:tcW w:w="991" w:type="dxa"/>
          </w:tcPr>
          <w:p w14:paraId="22EC3B9A" w14:textId="02C4D838" w:rsidR="00C7174E" w:rsidRDefault="0000640A">
            <w:pPr>
              <w:pStyle w:val="TableParagraph"/>
              <w:spacing w:before="24"/>
              <w:jc w:val="center"/>
            </w:pPr>
            <w:r>
              <w:rPr>
                <w:color w:val="231F20"/>
              </w:rPr>
              <w:t>2</w:t>
            </w:r>
          </w:p>
        </w:tc>
        <w:tc>
          <w:tcPr>
            <w:tcW w:w="995" w:type="dxa"/>
          </w:tcPr>
          <w:p w14:paraId="5BB73D50" w14:textId="77777777" w:rsidR="00C7174E" w:rsidRDefault="00C7174E">
            <w:pPr>
              <w:pStyle w:val="TableParagraph"/>
              <w:rPr>
                <w:rFonts w:ascii="Times New Roman"/>
              </w:rPr>
            </w:pPr>
          </w:p>
        </w:tc>
      </w:tr>
      <w:tr w:rsidR="00C7174E" w14:paraId="0E802701" w14:textId="77777777" w:rsidTr="00566E8A">
        <w:trPr>
          <w:trHeight w:val="300"/>
        </w:trPr>
        <w:tc>
          <w:tcPr>
            <w:tcW w:w="369" w:type="dxa"/>
          </w:tcPr>
          <w:p w14:paraId="73BE119C" w14:textId="77777777" w:rsidR="00C7174E" w:rsidRDefault="00C7174E">
            <w:pPr>
              <w:pStyle w:val="TableParagraph"/>
              <w:rPr>
                <w:rFonts w:ascii="Times New Roman"/>
              </w:rPr>
            </w:pPr>
          </w:p>
        </w:tc>
        <w:tc>
          <w:tcPr>
            <w:tcW w:w="8438" w:type="dxa"/>
          </w:tcPr>
          <w:p w14:paraId="5DB67E5D" w14:textId="61950E71" w:rsidR="00C7174E" w:rsidRDefault="00566E8A">
            <w:pPr>
              <w:pStyle w:val="TableParagraph"/>
              <w:spacing w:before="24"/>
              <w:ind w:left="70"/>
            </w:pPr>
            <w:r>
              <w:rPr>
                <w:color w:val="231F20"/>
              </w:rPr>
              <w:t>County wide</w:t>
            </w:r>
            <w:r w:rsidR="006A7A33">
              <w:rPr>
                <w:color w:val="231F20"/>
              </w:rPr>
              <w:t>, and below:</w:t>
            </w:r>
          </w:p>
        </w:tc>
        <w:tc>
          <w:tcPr>
            <w:tcW w:w="991" w:type="dxa"/>
          </w:tcPr>
          <w:p w14:paraId="3D1A96D1" w14:textId="3C75EF41" w:rsidR="00C7174E" w:rsidRDefault="0000640A">
            <w:pPr>
              <w:pStyle w:val="TableParagraph"/>
              <w:spacing w:before="24"/>
              <w:jc w:val="center"/>
            </w:pPr>
            <w:r>
              <w:rPr>
                <w:color w:val="231F20"/>
              </w:rPr>
              <w:t>1</w:t>
            </w:r>
          </w:p>
        </w:tc>
        <w:tc>
          <w:tcPr>
            <w:tcW w:w="995" w:type="dxa"/>
          </w:tcPr>
          <w:p w14:paraId="4018B262" w14:textId="77777777" w:rsidR="00C7174E" w:rsidRDefault="00C7174E">
            <w:pPr>
              <w:pStyle w:val="TableParagraph"/>
              <w:rPr>
                <w:rFonts w:ascii="Times New Roman"/>
              </w:rPr>
            </w:pPr>
          </w:p>
        </w:tc>
      </w:tr>
      <w:tr w:rsidR="00C7174E" w14:paraId="2556EDE4" w14:textId="77777777" w:rsidTr="00566E8A">
        <w:trPr>
          <w:trHeight w:val="300"/>
        </w:trPr>
        <w:tc>
          <w:tcPr>
            <w:tcW w:w="369" w:type="dxa"/>
          </w:tcPr>
          <w:p w14:paraId="65651D30" w14:textId="77777777" w:rsidR="00C7174E" w:rsidRDefault="00C7174E">
            <w:pPr>
              <w:pStyle w:val="TableParagraph"/>
              <w:rPr>
                <w:rFonts w:ascii="Times New Roman"/>
              </w:rPr>
            </w:pPr>
          </w:p>
        </w:tc>
        <w:tc>
          <w:tcPr>
            <w:tcW w:w="8438" w:type="dxa"/>
          </w:tcPr>
          <w:p w14:paraId="731DB3BE" w14:textId="77777777" w:rsidR="00C7174E" w:rsidRDefault="00566E8A">
            <w:pPr>
              <w:pStyle w:val="TableParagraph"/>
              <w:spacing w:before="24"/>
              <w:ind w:left="70"/>
            </w:pPr>
            <w:r>
              <w:rPr>
                <w:color w:val="231F20"/>
              </w:rPr>
              <w:t>Local</w:t>
            </w:r>
          </w:p>
        </w:tc>
        <w:tc>
          <w:tcPr>
            <w:tcW w:w="991" w:type="dxa"/>
          </w:tcPr>
          <w:p w14:paraId="55858326" w14:textId="28F0C87E" w:rsidR="00C7174E" w:rsidRDefault="0000640A">
            <w:pPr>
              <w:pStyle w:val="TableParagraph"/>
              <w:spacing w:before="24"/>
              <w:jc w:val="center"/>
            </w:pPr>
            <w:r>
              <w:rPr>
                <w:color w:val="231F20"/>
              </w:rPr>
              <w:t>0</w:t>
            </w:r>
          </w:p>
        </w:tc>
        <w:tc>
          <w:tcPr>
            <w:tcW w:w="995" w:type="dxa"/>
          </w:tcPr>
          <w:p w14:paraId="7E051DD8" w14:textId="77777777" w:rsidR="00C7174E" w:rsidRDefault="00C7174E">
            <w:pPr>
              <w:pStyle w:val="TableParagraph"/>
              <w:rPr>
                <w:rFonts w:ascii="Times New Roman"/>
              </w:rPr>
            </w:pPr>
          </w:p>
        </w:tc>
      </w:tr>
      <w:tr w:rsidR="00F32732" w14:paraId="2BBC1A27" w14:textId="77777777" w:rsidTr="001732E3">
        <w:trPr>
          <w:trHeight w:val="300"/>
        </w:trPr>
        <w:tc>
          <w:tcPr>
            <w:tcW w:w="369" w:type="dxa"/>
          </w:tcPr>
          <w:p w14:paraId="12F11893" w14:textId="77777777" w:rsidR="00F32732" w:rsidRDefault="00F32732">
            <w:pPr>
              <w:pStyle w:val="TableParagraph"/>
              <w:spacing w:before="24"/>
              <w:ind w:right="68"/>
              <w:jc w:val="right"/>
              <w:rPr>
                <w:b/>
              </w:rPr>
            </w:pPr>
            <w:r>
              <w:rPr>
                <w:b/>
                <w:color w:val="231F20"/>
              </w:rPr>
              <w:t>3</w:t>
            </w:r>
          </w:p>
        </w:tc>
        <w:tc>
          <w:tcPr>
            <w:tcW w:w="8438" w:type="dxa"/>
          </w:tcPr>
          <w:p w14:paraId="46488396" w14:textId="77777777" w:rsidR="00F32732" w:rsidRDefault="00F32732">
            <w:pPr>
              <w:pStyle w:val="TableParagraph"/>
              <w:spacing w:before="24"/>
              <w:ind w:left="70"/>
              <w:rPr>
                <w:b/>
              </w:rPr>
            </w:pPr>
            <w:r>
              <w:rPr>
                <w:b/>
                <w:color w:val="231F20"/>
              </w:rPr>
              <w:t xml:space="preserve">Type of Equipment </w:t>
            </w:r>
            <w:r w:rsidRPr="00F32732">
              <w:rPr>
                <w:bCs/>
                <w:i/>
                <w:iCs/>
                <w:color w:val="231F20"/>
              </w:rPr>
              <w:t>(choose all that apply in project scope)</w:t>
            </w:r>
          </w:p>
        </w:tc>
        <w:tc>
          <w:tcPr>
            <w:tcW w:w="1986" w:type="dxa"/>
            <w:gridSpan w:val="2"/>
            <w:shd w:val="clear" w:color="auto" w:fill="939598"/>
          </w:tcPr>
          <w:p w14:paraId="66ECF692" w14:textId="00C71AA5" w:rsidR="00F32732" w:rsidRPr="00F32732" w:rsidRDefault="00F32732" w:rsidP="00F32732">
            <w:pPr>
              <w:pStyle w:val="TableParagraph"/>
              <w:jc w:val="center"/>
            </w:pPr>
            <w:r>
              <w:t xml:space="preserve">Max Points: </w:t>
            </w:r>
            <w:r w:rsidR="0000640A">
              <w:t>3</w:t>
            </w:r>
          </w:p>
        </w:tc>
      </w:tr>
      <w:tr w:rsidR="00C7174E" w14:paraId="557CAAB7" w14:textId="77777777" w:rsidTr="00566E8A">
        <w:trPr>
          <w:trHeight w:val="300"/>
        </w:trPr>
        <w:tc>
          <w:tcPr>
            <w:tcW w:w="369" w:type="dxa"/>
          </w:tcPr>
          <w:p w14:paraId="6A441F36" w14:textId="77777777" w:rsidR="00C7174E" w:rsidRDefault="00C7174E">
            <w:pPr>
              <w:pStyle w:val="TableParagraph"/>
              <w:rPr>
                <w:rFonts w:ascii="Times New Roman"/>
              </w:rPr>
            </w:pPr>
          </w:p>
        </w:tc>
        <w:tc>
          <w:tcPr>
            <w:tcW w:w="8438" w:type="dxa"/>
          </w:tcPr>
          <w:p w14:paraId="526E3AAD" w14:textId="77777777" w:rsidR="00C7174E" w:rsidRDefault="00566E8A">
            <w:pPr>
              <w:pStyle w:val="TableParagraph"/>
              <w:spacing w:before="24"/>
              <w:ind w:left="70"/>
            </w:pPr>
            <w:r>
              <w:rPr>
                <w:color w:val="231F20"/>
              </w:rPr>
              <w:t>Repeater</w:t>
            </w:r>
          </w:p>
        </w:tc>
        <w:tc>
          <w:tcPr>
            <w:tcW w:w="991" w:type="dxa"/>
          </w:tcPr>
          <w:p w14:paraId="69CDD371" w14:textId="4BB234C0" w:rsidR="00C7174E" w:rsidRDefault="0000640A">
            <w:pPr>
              <w:pStyle w:val="TableParagraph"/>
              <w:spacing w:before="24"/>
              <w:jc w:val="center"/>
            </w:pPr>
            <w:r>
              <w:rPr>
                <w:color w:val="231F20"/>
              </w:rPr>
              <w:t>3</w:t>
            </w:r>
          </w:p>
        </w:tc>
        <w:tc>
          <w:tcPr>
            <w:tcW w:w="995" w:type="dxa"/>
          </w:tcPr>
          <w:p w14:paraId="183572AA" w14:textId="77777777" w:rsidR="00C7174E" w:rsidRDefault="00C7174E">
            <w:pPr>
              <w:pStyle w:val="TableParagraph"/>
              <w:rPr>
                <w:rFonts w:ascii="Times New Roman"/>
              </w:rPr>
            </w:pPr>
          </w:p>
        </w:tc>
      </w:tr>
      <w:tr w:rsidR="00C7174E" w14:paraId="0F67FB3B" w14:textId="77777777" w:rsidTr="00566E8A">
        <w:trPr>
          <w:trHeight w:val="300"/>
        </w:trPr>
        <w:tc>
          <w:tcPr>
            <w:tcW w:w="369" w:type="dxa"/>
          </w:tcPr>
          <w:p w14:paraId="2AAE08D8" w14:textId="77777777" w:rsidR="00C7174E" w:rsidRDefault="00C7174E">
            <w:pPr>
              <w:pStyle w:val="TableParagraph"/>
              <w:rPr>
                <w:rFonts w:ascii="Times New Roman"/>
              </w:rPr>
            </w:pPr>
          </w:p>
        </w:tc>
        <w:tc>
          <w:tcPr>
            <w:tcW w:w="8438" w:type="dxa"/>
          </w:tcPr>
          <w:p w14:paraId="7196228E" w14:textId="77777777" w:rsidR="00C7174E" w:rsidRDefault="00566E8A">
            <w:pPr>
              <w:pStyle w:val="TableParagraph"/>
              <w:spacing w:before="24"/>
              <w:ind w:left="70"/>
            </w:pPr>
            <w:r>
              <w:rPr>
                <w:color w:val="231F20"/>
              </w:rPr>
              <w:t>Mobile (vehicle)</w:t>
            </w:r>
          </w:p>
        </w:tc>
        <w:tc>
          <w:tcPr>
            <w:tcW w:w="991" w:type="dxa"/>
          </w:tcPr>
          <w:p w14:paraId="27B8847E" w14:textId="73309DC1" w:rsidR="00C7174E" w:rsidRDefault="0000640A">
            <w:pPr>
              <w:pStyle w:val="TableParagraph"/>
              <w:spacing w:before="24"/>
              <w:jc w:val="center"/>
            </w:pPr>
            <w:r>
              <w:rPr>
                <w:color w:val="231F20"/>
              </w:rPr>
              <w:t>2</w:t>
            </w:r>
          </w:p>
        </w:tc>
        <w:tc>
          <w:tcPr>
            <w:tcW w:w="995" w:type="dxa"/>
          </w:tcPr>
          <w:p w14:paraId="6CBFA69E" w14:textId="77777777" w:rsidR="00C7174E" w:rsidRDefault="00C7174E">
            <w:pPr>
              <w:pStyle w:val="TableParagraph"/>
              <w:rPr>
                <w:rFonts w:ascii="Times New Roman"/>
              </w:rPr>
            </w:pPr>
          </w:p>
        </w:tc>
      </w:tr>
      <w:tr w:rsidR="00C7174E" w14:paraId="3D535AC8" w14:textId="77777777" w:rsidTr="00566E8A">
        <w:trPr>
          <w:trHeight w:val="300"/>
        </w:trPr>
        <w:tc>
          <w:tcPr>
            <w:tcW w:w="369" w:type="dxa"/>
          </w:tcPr>
          <w:p w14:paraId="231DB56A" w14:textId="77777777" w:rsidR="00C7174E" w:rsidRDefault="00C7174E">
            <w:pPr>
              <w:pStyle w:val="TableParagraph"/>
              <w:rPr>
                <w:rFonts w:ascii="Times New Roman"/>
              </w:rPr>
            </w:pPr>
          </w:p>
        </w:tc>
        <w:tc>
          <w:tcPr>
            <w:tcW w:w="8438" w:type="dxa"/>
          </w:tcPr>
          <w:p w14:paraId="45C57913" w14:textId="77777777" w:rsidR="00C7174E" w:rsidRDefault="00566E8A">
            <w:pPr>
              <w:pStyle w:val="TableParagraph"/>
              <w:spacing w:before="24"/>
              <w:ind w:left="70"/>
            </w:pPr>
            <w:r>
              <w:rPr>
                <w:color w:val="231F20"/>
              </w:rPr>
              <w:t>Handheld</w:t>
            </w:r>
          </w:p>
        </w:tc>
        <w:tc>
          <w:tcPr>
            <w:tcW w:w="991" w:type="dxa"/>
          </w:tcPr>
          <w:p w14:paraId="43C2B860" w14:textId="2BA94801" w:rsidR="00C7174E" w:rsidRDefault="0000640A">
            <w:pPr>
              <w:pStyle w:val="TableParagraph"/>
              <w:spacing w:before="24"/>
              <w:jc w:val="center"/>
            </w:pPr>
            <w:r>
              <w:rPr>
                <w:color w:val="231F20"/>
              </w:rPr>
              <w:t>1</w:t>
            </w:r>
          </w:p>
        </w:tc>
        <w:tc>
          <w:tcPr>
            <w:tcW w:w="995" w:type="dxa"/>
          </w:tcPr>
          <w:p w14:paraId="202818FD" w14:textId="77777777" w:rsidR="00C7174E" w:rsidRDefault="00C7174E">
            <w:pPr>
              <w:pStyle w:val="TableParagraph"/>
              <w:rPr>
                <w:rFonts w:ascii="Times New Roman"/>
              </w:rPr>
            </w:pPr>
          </w:p>
        </w:tc>
      </w:tr>
      <w:tr w:rsidR="00F32732" w14:paraId="3BD46C17" w14:textId="77777777" w:rsidTr="00F72B4C">
        <w:trPr>
          <w:trHeight w:val="300"/>
        </w:trPr>
        <w:tc>
          <w:tcPr>
            <w:tcW w:w="369" w:type="dxa"/>
          </w:tcPr>
          <w:p w14:paraId="41CE7F53" w14:textId="77777777" w:rsidR="00F32732" w:rsidRDefault="00F32732">
            <w:pPr>
              <w:pStyle w:val="TableParagraph"/>
              <w:spacing w:before="24"/>
              <w:ind w:right="68"/>
              <w:jc w:val="right"/>
              <w:rPr>
                <w:b/>
              </w:rPr>
            </w:pPr>
            <w:r>
              <w:rPr>
                <w:b/>
                <w:color w:val="231F20"/>
              </w:rPr>
              <w:t>4</w:t>
            </w:r>
          </w:p>
        </w:tc>
        <w:tc>
          <w:tcPr>
            <w:tcW w:w="8438" w:type="dxa"/>
          </w:tcPr>
          <w:p w14:paraId="29F776BC" w14:textId="77777777" w:rsidR="00F32732" w:rsidRDefault="00F32732">
            <w:pPr>
              <w:pStyle w:val="TableParagraph"/>
              <w:spacing w:before="24"/>
              <w:ind w:left="70"/>
              <w:rPr>
                <w:b/>
              </w:rPr>
            </w:pPr>
            <w:r>
              <w:rPr>
                <w:b/>
                <w:color w:val="231F20"/>
              </w:rPr>
              <w:t xml:space="preserve">Other Funding Sources </w:t>
            </w:r>
            <w:r w:rsidRPr="00F32732">
              <w:rPr>
                <w:bCs/>
                <w:i/>
                <w:iCs/>
                <w:color w:val="231F20"/>
              </w:rPr>
              <w:t>(choose one)</w:t>
            </w:r>
          </w:p>
        </w:tc>
        <w:tc>
          <w:tcPr>
            <w:tcW w:w="1986" w:type="dxa"/>
            <w:gridSpan w:val="2"/>
            <w:shd w:val="clear" w:color="auto" w:fill="939598"/>
          </w:tcPr>
          <w:p w14:paraId="1592CD23" w14:textId="73CE1A3C" w:rsidR="00F32732" w:rsidRPr="00F32732" w:rsidRDefault="00F32732" w:rsidP="00F32732">
            <w:pPr>
              <w:pStyle w:val="TableParagraph"/>
              <w:jc w:val="center"/>
            </w:pPr>
            <w:r>
              <w:t>Max Points:</w:t>
            </w:r>
            <w:r w:rsidR="0000640A">
              <w:t xml:space="preserve"> </w:t>
            </w:r>
            <w:r w:rsidR="006A12DC">
              <w:t>2</w:t>
            </w:r>
          </w:p>
        </w:tc>
      </w:tr>
      <w:tr w:rsidR="00C7174E" w14:paraId="70D4503E" w14:textId="77777777" w:rsidTr="00566E8A">
        <w:trPr>
          <w:trHeight w:val="300"/>
        </w:trPr>
        <w:tc>
          <w:tcPr>
            <w:tcW w:w="369" w:type="dxa"/>
          </w:tcPr>
          <w:p w14:paraId="5F4386EB" w14:textId="77777777" w:rsidR="00C7174E" w:rsidRDefault="00C7174E">
            <w:pPr>
              <w:pStyle w:val="TableParagraph"/>
              <w:rPr>
                <w:rFonts w:ascii="Times New Roman"/>
              </w:rPr>
            </w:pPr>
          </w:p>
        </w:tc>
        <w:tc>
          <w:tcPr>
            <w:tcW w:w="8438" w:type="dxa"/>
          </w:tcPr>
          <w:p w14:paraId="3C9BDA09" w14:textId="77777777" w:rsidR="00C7174E" w:rsidRDefault="00566E8A">
            <w:pPr>
              <w:pStyle w:val="TableParagraph"/>
              <w:spacing w:before="24"/>
              <w:ind w:left="70"/>
            </w:pPr>
            <w:r>
              <w:rPr>
                <w:color w:val="231F20"/>
              </w:rPr>
              <w:t>51% or greater</w:t>
            </w:r>
          </w:p>
        </w:tc>
        <w:tc>
          <w:tcPr>
            <w:tcW w:w="991" w:type="dxa"/>
          </w:tcPr>
          <w:p w14:paraId="42085DFE" w14:textId="2D6CF3AB" w:rsidR="00C7174E" w:rsidRDefault="006A12DC">
            <w:pPr>
              <w:pStyle w:val="TableParagraph"/>
              <w:spacing w:before="24"/>
              <w:jc w:val="center"/>
            </w:pPr>
            <w:r>
              <w:rPr>
                <w:color w:val="231F20"/>
              </w:rPr>
              <w:t>2</w:t>
            </w:r>
          </w:p>
        </w:tc>
        <w:tc>
          <w:tcPr>
            <w:tcW w:w="995" w:type="dxa"/>
          </w:tcPr>
          <w:p w14:paraId="560AA121" w14:textId="77777777" w:rsidR="00C7174E" w:rsidRDefault="00C7174E">
            <w:pPr>
              <w:pStyle w:val="TableParagraph"/>
              <w:rPr>
                <w:rFonts w:ascii="Times New Roman"/>
              </w:rPr>
            </w:pPr>
          </w:p>
        </w:tc>
      </w:tr>
      <w:tr w:rsidR="00C7174E" w14:paraId="0E4F4137" w14:textId="77777777" w:rsidTr="00566E8A">
        <w:trPr>
          <w:trHeight w:val="300"/>
        </w:trPr>
        <w:tc>
          <w:tcPr>
            <w:tcW w:w="369" w:type="dxa"/>
          </w:tcPr>
          <w:p w14:paraId="1C1751E3" w14:textId="77777777" w:rsidR="00C7174E" w:rsidRDefault="00C7174E">
            <w:pPr>
              <w:pStyle w:val="TableParagraph"/>
              <w:rPr>
                <w:rFonts w:ascii="Times New Roman"/>
              </w:rPr>
            </w:pPr>
          </w:p>
        </w:tc>
        <w:tc>
          <w:tcPr>
            <w:tcW w:w="8438" w:type="dxa"/>
          </w:tcPr>
          <w:p w14:paraId="45AD3294" w14:textId="72637F87" w:rsidR="00C7174E" w:rsidRDefault="00566E8A">
            <w:pPr>
              <w:pStyle w:val="TableParagraph"/>
              <w:spacing w:before="24"/>
              <w:ind w:left="70"/>
            </w:pPr>
            <w:r>
              <w:rPr>
                <w:color w:val="231F20"/>
              </w:rPr>
              <w:t>2</w:t>
            </w:r>
            <w:r w:rsidR="006A12DC">
              <w:rPr>
                <w:color w:val="231F20"/>
              </w:rPr>
              <w:t>5</w:t>
            </w:r>
            <w:r>
              <w:rPr>
                <w:color w:val="231F20"/>
              </w:rPr>
              <w:t>-50%</w:t>
            </w:r>
          </w:p>
        </w:tc>
        <w:tc>
          <w:tcPr>
            <w:tcW w:w="991" w:type="dxa"/>
          </w:tcPr>
          <w:p w14:paraId="207A2BB0" w14:textId="12F9E73A" w:rsidR="00C7174E" w:rsidRDefault="006A12DC">
            <w:pPr>
              <w:pStyle w:val="TableParagraph"/>
              <w:spacing w:before="24"/>
              <w:jc w:val="center"/>
            </w:pPr>
            <w:r>
              <w:rPr>
                <w:color w:val="231F20"/>
              </w:rPr>
              <w:t>1</w:t>
            </w:r>
          </w:p>
        </w:tc>
        <w:tc>
          <w:tcPr>
            <w:tcW w:w="995" w:type="dxa"/>
          </w:tcPr>
          <w:p w14:paraId="09EAC333" w14:textId="77777777" w:rsidR="00C7174E" w:rsidRDefault="00C7174E">
            <w:pPr>
              <w:pStyle w:val="TableParagraph"/>
              <w:rPr>
                <w:rFonts w:ascii="Times New Roman"/>
              </w:rPr>
            </w:pPr>
          </w:p>
        </w:tc>
      </w:tr>
      <w:tr w:rsidR="00C7174E" w14:paraId="2FEEB732" w14:textId="77777777" w:rsidTr="00566E8A">
        <w:trPr>
          <w:trHeight w:val="300"/>
        </w:trPr>
        <w:tc>
          <w:tcPr>
            <w:tcW w:w="369" w:type="dxa"/>
          </w:tcPr>
          <w:p w14:paraId="11858B9D" w14:textId="77777777" w:rsidR="00C7174E" w:rsidRDefault="00C7174E">
            <w:pPr>
              <w:pStyle w:val="TableParagraph"/>
              <w:rPr>
                <w:rFonts w:ascii="Times New Roman"/>
              </w:rPr>
            </w:pPr>
          </w:p>
        </w:tc>
        <w:tc>
          <w:tcPr>
            <w:tcW w:w="8438" w:type="dxa"/>
          </w:tcPr>
          <w:p w14:paraId="4B49B517" w14:textId="65771779" w:rsidR="00C7174E" w:rsidRDefault="006A12DC">
            <w:pPr>
              <w:pStyle w:val="TableParagraph"/>
              <w:spacing w:before="24"/>
              <w:ind w:left="70"/>
            </w:pPr>
            <w:r>
              <w:rPr>
                <w:color w:val="231F20"/>
              </w:rPr>
              <w:t xml:space="preserve">Less than </w:t>
            </w:r>
            <w:r w:rsidR="00F32732">
              <w:rPr>
                <w:color w:val="231F20"/>
              </w:rPr>
              <w:t>5%</w:t>
            </w:r>
          </w:p>
        </w:tc>
        <w:tc>
          <w:tcPr>
            <w:tcW w:w="991" w:type="dxa"/>
          </w:tcPr>
          <w:p w14:paraId="65B50FE4" w14:textId="6C1C2856" w:rsidR="00C7174E" w:rsidRDefault="006A12DC">
            <w:pPr>
              <w:pStyle w:val="TableParagraph"/>
              <w:spacing w:before="24"/>
              <w:jc w:val="center"/>
            </w:pPr>
            <w:r>
              <w:rPr>
                <w:color w:val="231F20"/>
              </w:rPr>
              <w:t>0</w:t>
            </w:r>
          </w:p>
        </w:tc>
        <w:tc>
          <w:tcPr>
            <w:tcW w:w="995" w:type="dxa"/>
          </w:tcPr>
          <w:p w14:paraId="6E2F842D" w14:textId="77777777" w:rsidR="00C7174E" w:rsidRDefault="00C7174E">
            <w:pPr>
              <w:pStyle w:val="TableParagraph"/>
              <w:rPr>
                <w:rFonts w:ascii="Times New Roman"/>
              </w:rPr>
            </w:pPr>
          </w:p>
        </w:tc>
      </w:tr>
      <w:tr w:rsidR="00C7174E" w14:paraId="0D7F10B2" w14:textId="77777777" w:rsidTr="00566E8A">
        <w:trPr>
          <w:trHeight w:val="300"/>
        </w:trPr>
        <w:tc>
          <w:tcPr>
            <w:tcW w:w="369" w:type="dxa"/>
          </w:tcPr>
          <w:p w14:paraId="01E2D481" w14:textId="77777777" w:rsidR="00C7174E" w:rsidRDefault="00C7174E">
            <w:pPr>
              <w:pStyle w:val="TableParagraph"/>
              <w:rPr>
                <w:rFonts w:ascii="Times New Roman"/>
              </w:rPr>
            </w:pPr>
          </w:p>
        </w:tc>
        <w:tc>
          <w:tcPr>
            <w:tcW w:w="8438" w:type="dxa"/>
          </w:tcPr>
          <w:p w14:paraId="75FEF75B" w14:textId="77777777" w:rsidR="00C7174E" w:rsidRDefault="00566E8A">
            <w:pPr>
              <w:pStyle w:val="TableParagraph"/>
              <w:spacing w:before="24"/>
              <w:ind w:right="68"/>
              <w:jc w:val="right"/>
            </w:pPr>
            <w:r>
              <w:rPr>
                <w:color w:val="231F20"/>
              </w:rPr>
              <w:t>Sub Total</w:t>
            </w:r>
          </w:p>
        </w:tc>
        <w:tc>
          <w:tcPr>
            <w:tcW w:w="991" w:type="dxa"/>
            <w:shd w:val="clear" w:color="auto" w:fill="939598"/>
          </w:tcPr>
          <w:p w14:paraId="51645B7D" w14:textId="77777777" w:rsidR="00C7174E" w:rsidRDefault="00C7174E">
            <w:pPr>
              <w:pStyle w:val="TableParagraph"/>
              <w:rPr>
                <w:rFonts w:ascii="Times New Roman"/>
              </w:rPr>
            </w:pPr>
          </w:p>
        </w:tc>
        <w:tc>
          <w:tcPr>
            <w:tcW w:w="995" w:type="dxa"/>
          </w:tcPr>
          <w:p w14:paraId="1216BDE1" w14:textId="77777777" w:rsidR="00C7174E" w:rsidRDefault="00C7174E">
            <w:pPr>
              <w:pStyle w:val="TableParagraph"/>
              <w:rPr>
                <w:rFonts w:ascii="Times New Roman"/>
              </w:rPr>
            </w:pPr>
          </w:p>
        </w:tc>
      </w:tr>
      <w:tr w:rsidR="00F32732" w14:paraId="590E6642" w14:textId="77777777" w:rsidTr="00C26B46">
        <w:trPr>
          <w:trHeight w:val="300"/>
        </w:trPr>
        <w:tc>
          <w:tcPr>
            <w:tcW w:w="369" w:type="dxa"/>
          </w:tcPr>
          <w:p w14:paraId="5EB039BB" w14:textId="77777777" w:rsidR="00F32732" w:rsidRDefault="00F32732">
            <w:pPr>
              <w:pStyle w:val="TableParagraph"/>
              <w:rPr>
                <w:rFonts w:ascii="Times New Roman"/>
              </w:rPr>
            </w:pPr>
          </w:p>
        </w:tc>
        <w:tc>
          <w:tcPr>
            <w:tcW w:w="8438" w:type="dxa"/>
          </w:tcPr>
          <w:p w14:paraId="29A39633" w14:textId="77777777" w:rsidR="00F32732" w:rsidRDefault="00F32732">
            <w:pPr>
              <w:pStyle w:val="TableParagraph"/>
              <w:spacing w:before="24"/>
              <w:ind w:left="3461" w:right="3461"/>
              <w:jc w:val="center"/>
              <w:rPr>
                <w:b/>
              </w:rPr>
            </w:pPr>
            <w:r>
              <w:rPr>
                <w:b/>
                <w:color w:val="231F20"/>
              </w:rPr>
              <w:t>DEDUCTIONS</w:t>
            </w:r>
          </w:p>
        </w:tc>
        <w:tc>
          <w:tcPr>
            <w:tcW w:w="1986" w:type="dxa"/>
            <w:gridSpan w:val="2"/>
            <w:shd w:val="clear" w:color="auto" w:fill="939598"/>
          </w:tcPr>
          <w:p w14:paraId="03C5DF26" w14:textId="77777777" w:rsidR="00F32732" w:rsidRPr="00F32732" w:rsidRDefault="00F32732" w:rsidP="00F32732">
            <w:pPr>
              <w:pStyle w:val="TableParagraph"/>
              <w:jc w:val="center"/>
            </w:pPr>
            <w:r>
              <w:t>Max Deduction: -10</w:t>
            </w:r>
          </w:p>
        </w:tc>
      </w:tr>
      <w:tr w:rsidR="00C7174E" w14:paraId="6A71310E" w14:textId="77777777" w:rsidTr="00566E8A">
        <w:trPr>
          <w:trHeight w:val="300"/>
        </w:trPr>
        <w:tc>
          <w:tcPr>
            <w:tcW w:w="369" w:type="dxa"/>
          </w:tcPr>
          <w:p w14:paraId="1875C753" w14:textId="731F01BF" w:rsidR="00C7174E" w:rsidRDefault="006A12DC">
            <w:pPr>
              <w:pStyle w:val="TableParagraph"/>
              <w:spacing w:before="24"/>
              <w:ind w:right="68"/>
              <w:jc w:val="right"/>
            </w:pPr>
            <w:r>
              <w:t>5</w:t>
            </w:r>
          </w:p>
        </w:tc>
        <w:tc>
          <w:tcPr>
            <w:tcW w:w="8438" w:type="dxa"/>
          </w:tcPr>
          <w:p w14:paraId="796C6A5B" w14:textId="738DA483" w:rsidR="00C7174E" w:rsidRDefault="00566E8A">
            <w:pPr>
              <w:pStyle w:val="TableParagraph"/>
              <w:spacing w:before="24"/>
              <w:ind w:left="70"/>
            </w:pPr>
            <w:r>
              <w:rPr>
                <w:color w:val="231F20"/>
              </w:rPr>
              <w:t xml:space="preserve">Incomplete Application Deduction (Identified by </w:t>
            </w:r>
            <w:r w:rsidR="0000640A">
              <w:rPr>
                <w:color w:val="231F20"/>
              </w:rPr>
              <w:t>RPM</w:t>
            </w:r>
            <w:r>
              <w:rPr>
                <w:color w:val="231F20"/>
              </w:rPr>
              <w:t>)</w:t>
            </w:r>
          </w:p>
        </w:tc>
        <w:tc>
          <w:tcPr>
            <w:tcW w:w="991" w:type="dxa"/>
          </w:tcPr>
          <w:p w14:paraId="4F390F88" w14:textId="77777777" w:rsidR="00C7174E" w:rsidRDefault="00566E8A">
            <w:pPr>
              <w:pStyle w:val="TableParagraph"/>
              <w:spacing w:before="24"/>
              <w:ind w:left="326"/>
            </w:pPr>
            <w:r>
              <w:rPr>
                <w:color w:val="231F20"/>
              </w:rPr>
              <w:t>-10</w:t>
            </w:r>
          </w:p>
        </w:tc>
        <w:tc>
          <w:tcPr>
            <w:tcW w:w="995" w:type="dxa"/>
          </w:tcPr>
          <w:p w14:paraId="5B15B297" w14:textId="77777777" w:rsidR="00C7174E" w:rsidRDefault="00C7174E">
            <w:pPr>
              <w:pStyle w:val="TableParagraph"/>
              <w:rPr>
                <w:rFonts w:ascii="Times New Roman"/>
              </w:rPr>
            </w:pPr>
          </w:p>
        </w:tc>
      </w:tr>
      <w:tr w:rsidR="00C7174E" w14:paraId="05F3B489" w14:textId="77777777">
        <w:trPr>
          <w:trHeight w:val="300"/>
        </w:trPr>
        <w:tc>
          <w:tcPr>
            <w:tcW w:w="9798" w:type="dxa"/>
            <w:gridSpan w:val="3"/>
          </w:tcPr>
          <w:p w14:paraId="1373DD00" w14:textId="5DE2E744" w:rsidR="00C7174E" w:rsidRDefault="00F32732">
            <w:pPr>
              <w:pStyle w:val="TableParagraph"/>
              <w:spacing w:before="24"/>
              <w:ind w:right="67"/>
              <w:jc w:val="right"/>
              <w:rPr>
                <w:b/>
              </w:rPr>
            </w:pPr>
            <w:r>
              <w:rPr>
                <w:b/>
                <w:color w:val="231F20"/>
              </w:rPr>
              <w:t xml:space="preserve"> </w:t>
            </w:r>
            <w:r w:rsidRPr="00F32732">
              <w:rPr>
                <w:bCs/>
                <w:color w:val="231F20"/>
              </w:rPr>
              <w:t xml:space="preserve"> (Maximum Points: </w:t>
            </w:r>
            <w:r w:rsidR="0000640A">
              <w:rPr>
                <w:bCs/>
                <w:color w:val="231F20"/>
              </w:rPr>
              <w:t>1</w:t>
            </w:r>
            <w:r w:rsidR="006A12DC">
              <w:rPr>
                <w:bCs/>
                <w:color w:val="231F20"/>
              </w:rPr>
              <w:t>4</w:t>
            </w:r>
            <w:r w:rsidRPr="00F32732">
              <w:rPr>
                <w:bCs/>
                <w:color w:val="231F20"/>
              </w:rPr>
              <w:t xml:space="preserve">) </w:t>
            </w:r>
            <w:r>
              <w:rPr>
                <w:b/>
                <w:color w:val="231F20"/>
              </w:rPr>
              <w:t xml:space="preserve">   </w:t>
            </w:r>
            <w:r w:rsidR="00566E8A">
              <w:rPr>
                <w:b/>
                <w:color w:val="231F20"/>
              </w:rPr>
              <w:t>Grand Total</w:t>
            </w:r>
          </w:p>
        </w:tc>
        <w:tc>
          <w:tcPr>
            <w:tcW w:w="995" w:type="dxa"/>
          </w:tcPr>
          <w:p w14:paraId="5EF20697" w14:textId="77777777" w:rsidR="00C7174E" w:rsidRDefault="00C7174E">
            <w:pPr>
              <w:pStyle w:val="TableParagraph"/>
              <w:rPr>
                <w:rFonts w:ascii="Times New Roman"/>
              </w:rPr>
            </w:pPr>
          </w:p>
        </w:tc>
      </w:tr>
    </w:tbl>
    <w:p w14:paraId="7161B1E6" w14:textId="77777777" w:rsidR="00C7174E" w:rsidRDefault="00C7174E">
      <w:pPr>
        <w:rPr>
          <w:rFonts w:ascii="Times New Roman"/>
        </w:rPr>
        <w:sectPr w:rsidR="00C7174E">
          <w:type w:val="continuous"/>
          <w:pgSz w:w="12240" w:h="15840"/>
          <w:pgMar w:top="600" w:right="600" w:bottom="280" w:left="600" w:header="720" w:footer="720" w:gutter="0"/>
          <w:cols w:space="720"/>
        </w:sectPr>
      </w:pPr>
    </w:p>
    <w:p w14:paraId="4BF2C55B" w14:textId="77777777" w:rsidR="00C7174E" w:rsidRDefault="00566E8A">
      <w:pPr>
        <w:spacing w:before="69"/>
        <w:ind w:left="4146" w:right="4146"/>
        <w:jc w:val="center"/>
        <w:rPr>
          <w:sz w:val="24"/>
        </w:rPr>
      </w:pPr>
      <w:r>
        <w:rPr>
          <w:color w:val="231F20"/>
          <w:sz w:val="24"/>
        </w:rPr>
        <w:lastRenderedPageBreak/>
        <w:t>Justifications for Ranking</w:t>
      </w:r>
    </w:p>
    <w:p w14:paraId="3B8A1730" w14:textId="77777777" w:rsidR="00C7174E" w:rsidRDefault="00C7174E">
      <w:pPr>
        <w:pStyle w:val="BodyText"/>
        <w:spacing w:before="6"/>
        <w:ind w:left="0"/>
        <w:rPr>
          <w:sz w:val="25"/>
        </w:rPr>
      </w:pPr>
    </w:p>
    <w:p w14:paraId="3BA87231" w14:textId="77777777" w:rsidR="00C7174E" w:rsidRDefault="00566E8A">
      <w:pPr>
        <w:pStyle w:val="BodyText"/>
        <w:spacing w:line="249" w:lineRule="auto"/>
        <w:ind w:right="121"/>
      </w:pPr>
      <w:r>
        <w:rPr>
          <w:color w:val="231F20"/>
        </w:rPr>
        <w:t>Legislative change to 23.33: Acquisition and maintenance of communications equipment for providing support to organizations that meet the eligibility requirements</w:t>
      </w:r>
    </w:p>
    <w:p w14:paraId="48318EE7" w14:textId="2C363EA5" w:rsidR="00C7174E" w:rsidRDefault="00C7174E">
      <w:pPr>
        <w:pStyle w:val="BodyText"/>
        <w:ind w:left="0"/>
        <w:rPr>
          <w:sz w:val="23"/>
        </w:rPr>
      </w:pPr>
    </w:p>
    <w:p w14:paraId="380E0CF8" w14:textId="77777777" w:rsidR="006A12DC" w:rsidRDefault="006A12DC">
      <w:pPr>
        <w:pStyle w:val="BodyText"/>
        <w:ind w:left="0"/>
        <w:rPr>
          <w:sz w:val="23"/>
        </w:rPr>
      </w:pPr>
    </w:p>
    <w:p w14:paraId="30440A3D" w14:textId="77777777" w:rsidR="00C7174E" w:rsidRDefault="00566E8A">
      <w:pPr>
        <w:pStyle w:val="Heading1"/>
      </w:pPr>
      <w:r>
        <w:rPr>
          <w:color w:val="231F20"/>
        </w:rPr>
        <w:t>Category: Reason for Communications</w:t>
      </w:r>
      <w:r w:rsidR="00F32732">
        <w:rPr>
          <w:color w:val="231F20"/>
        </w:rPr>
        <w:t xml:space="preserve">   </w:t>
      </w:r>
    </w:p>
    <w:p w14:paraId="3D49833A" w14:textId="77777777" w:rsidR="00C7174E" w:rsidRDefault="00566E8A">
      <w:pPr>
        <w:pStyle w:val="BodyText"/>
        <w:spacing w:line="530" w:lineRule="atLeast"/>
        <w:ind w:right="4630"/>
      </w:pPr>
      <w:r>
        <w:rPr>
          <w:color w:val="231F20"/>
        </w:rPr>
        <w:t>This category places value on the overall goal of the application. Rating: Communicates with Trail Ambassador program</w:t>
      </w:r>
    </w:p>
    <w:p w14:paraId="483C2355" w14:textId="6A139194" w:rsidR="00C7174E" w:rsidRDefault="00566E8A">
      <w:pPr>
        <w:pStyle w:val="BodyText"/>
        <w:spacing w:before="13"/>
      </w:pPr>
      <w:r>
        <w:rPr>
          <w:color w:val="231F20"/>
        </w:rPr>
        <w:t xml:space="preserve">Points: </w:t>
      </w:r>
      <w:r w:rsidR="006A12DC">
        <w:rPr>
          <w:color w:val="231F20"/>
        </w:rPr>
        <w:t>2</w:t>
      </w:r>
    </w:p>
    <w:p w14:paraId="7B250DBC" w14:textId="1FAD1DBE" w:rsidR="00C7174E" w:rsidRDefault="00566E8A" w:rsidP="006A12DC">
      <w:pPr>
        <w:pStyle w:val="BodyText"/>
        <w:spacing w:before="11"/>
      </w:pPr>
      <w:r>
        <w:rPr>
          <w:color w:val="231F20"/>
        </w:rPr>
        <w:t>Justification: Any project that connects to the Trail Ambassador program should receive</w:t>
      </w:r>
      <w:r w:rsidR="006A12DC">
        <w:rPr>
          <w:color w:val="231F20"/>
        </w:rPr>
        <w:t xml:space="preserve"> points</w:t>
      </w:r>
      <w:r>
        <w:rPr>
          <w:color w:val="231F20"/>
        </w:rPr>
        <w:t>. This type of application will enhance the safety and awareness of situations on the ATV / UTV trail systems. Instant communication of issues can be easily relayed to county law enforcement or land management agencies that otherwise might not be alerted to a situation.</w:t>
      </w:r>
    </w:p>
    <w:p w14:paraId="578CE101" w14:textId="77777777" w:rsidR="00C7174E" w:rsidRDefault="00C7174E">
      <w:pPr>
        <w:pStyle w:val="BodyText"/>
        <w:ind w:left="0"/>
        <w:rPr>
          <w:sz w:val="23"/>
        </w:rPr>
      </w:pPr>
    </w:p>
    <w:p w14:paraId="52A0B901" w14:textId="16F211B9" w:rsidR="00C7174E" w:rsidRDefault="00566E8A">
      <w:pPr>
        <w:pStyle w:val="BodyText"/>
        <w:spacing w:line="249" w:lineRule="auto"/>
        <w:ind w:right="5623"/>
      </w:pPr>
      <w:r>
        <w:rPr>
          <w:color w:val="231F20"/>
        </w:rPr>
        <w:t xml:space="preserve">Rating: Communicates with WISCOM / WEM systems Points: </w:t>
      </w:r>
      <w:r w:rsidR="006A12DC">
        <w:rPr>
          <w:color w:val="231F20"/>
        </w:rPr>
        <w:t>2</w:t>
      </w:r>
    </w:p>
    <w:p w14:paraId="7AE64CCD" w14:textId="1DF79DD6" w:rsidR="00C7174E" w:rsidRDefault="00566E8A">
      <w:pPr>
        <w:pStyle w:val="BodyText"/>
        <w:spacing w:line="249" w:lineRule="auto"/>
        <w:ind w:right="217"/>
      </w:pPr>
      <w:r>
        <w:rPr>
          <w:color w:val="231F20"/>
        </w:rPr>
        <w:t xml:space="preserve">Justification: Any project that provide interoperability for Wisconsin Emergency Management (WEM) &amp; the Wisconsin Interoperable System for Communications (WISCOM) agencies should receive </w:t>
      </w:r>
      <w:r w:rsidR="006A12DC">
        <w:rPr>
          <w:color w:val="231F20"/>
        </w:rPr>
        <w:t>points</w:t>
      </w:r>
      <w:r>
        <w:rPr>
          <w:color w:val="231F20"/>
        </w:rPr>
        <w:t>. Interoperability with WEM agencies provides communication assets for search and rescue, firefighting and security during WEM activations. By providing these assets, we are providing a public service to not only the ATV / UTV users within the state, but possibly to the surrounding population of the impacted project area.</w:t>
      </w:r>
      <w:r w:rsidR="006A12DC">
        <w:rPr>
          <w:color w:val="231F20"/>
        </w:rPr>
        <w:t xml:space="preserve">  </w:t>
      </w:r>
    </w:p>
    <w:p w14:paraId="701D54D2" w14:textId="77777777" w:rsidR="00C7174E" w:rsidRDefault="00C7174E">
      <w:pPr>
        <w:pStyle w:val="BodyText"/>
        <w:ind w:left="0"/>
        <w:rPr>
          <w:sz w:val="23"/>
        </w:rPr>
      </w:pPr>
    </w:p>
    <w:p w14:paraId="304C0256" w14:textId="1C138E03" w:rsidR="00C7174E" w:rsidRDefault="00566E8A">
      <w:pPr>
        <w:pStyle w:val="BodyText"/>
        <w:spacing w:line="249" w:lineRule="auto"/>
        <w:ind w:right="3045"/>
      </w:pPr>
      <w:r>
        <w:rPr>
          <w:color w:val="231F20"/>
        </w:rPr>
        <w:t xml:space="preserve">Rating: Communicates with county law enforcement / emergency services Points: </w:t>
      </w:r>
      <w:r w:rsidR="006A12DC">
        <w:rPr>
          <w:color w:val="231F20"/>
        </w:rPr>
        <w:t>1</w:t>
      </w:r>
    </w:p>
    <w:p w14:paraId="6F02756E" w14:textId="3F6ED20A" w:rsidR="00C7174E" w:rsidRDefault="00566E8A">
      <w:pPr>
        <w:pStyle w:val="BodyText"/>
        <w:spacing w:before="1" w:line="249" w:lineRule="auto"/>
        <w:ind w:right="121"/>
      </w:pPr>
      <w:r>
        <w:rPr>
          <w:color w:val="231F20"/>
        </w:rPr>
        <w:t xml:space="preserve">Justification: Any project that provides a direct integration with county law enforcement or emergency services via the county communications center or a form of a dispatch center should receive </w:t>
      </w:r>
      <w:r w:rsidR="006A12DC">
        <w:rPr>
          <w:color w:val="231F20"/>
        </w:rPr>
        <w:t>points</w:t>
      </w:r>
      <w:r>
        <w:rPr>
          <w:color w:val="231F20"/>
        </w:rPr>
        <w:t>. This type of integration will provide additional communication tools to aid law enforcement and emergency services should there be an incident on the ATV / UTV trail system for that county.</w:t>
      </w:r>
      <w:r w:rsidR="006A12DC">
        <w:rPr>
          <w:color w:val="231F20"/>
        </w:rPr>
        <w:t xml:space="preserve"> </w:t>
      </w:r>
    </w:p>
    <w:p w14:paraId="4C5FF525" w14:textId="77777777" w:rsidR="00C7174E" w:rsidRDefault="00C7174E">
      <w:pPr>
        <w:pStyle w:val="BodyText"/>
        <w:ind w:left="0"/>
        <w:rPr>
          <w:sz w:val="23"/>
        </w:rPr>
      </w:pPr>
    </w:p>
    <w:p w14:paraId="184C73C5" w14:textId="6DFF1F30" w:rsidR="00C7174E" w:rsidRDefault="00566E8A">
      <w:pPr>
        <w:pStyle w:val="BodyText"/>
        <w:spacing w:line="249" w:lineRule="auto"/>
        <w:ind w:right="6747"/>
      </w:pPr>
      <w:r>
        <w:rPr>
          <w:color w:val="231F20"/>
        </w:rPr>
        <w:t xml:space="preserve">Rating: Communicates with club groomers Points: </w:t>
      </w:r>
      <w:r w:rsidR="006A12DC">
        <w:rPr>
          <w:color w:val="231F20"/>
        </w:rPr>
        <w:t>1</w:t>
      </w:r>
    </w:p>
    <w:p w14:paraId="4802128D" w14:textId="4292FC58" w:rsidR="00C7174E" w:rsidRDefault="00566E8A">
      <w:pPr>
        <w:pStyle w:val="BodyText"/>
        <w:spacing w:line="249" w:lineRule="auto"/>
        <w:ind w:right="121"/>
        <w:rPr>
          <w:color w:val="231F20"/>
        </w:rPr>
      </w:pPr>
      <w:r>
        <w:rPr>
          <w:color w:val="231F20"/>
        </w:rPr>
        <w:t>Justification: Any project that can provide direct two way communication between a club and its groomer resources should receive</w:t>
      </w:r>
      <w:r w:rsidR="006A12DC">
        <w:rPr>
          <w:color w:val="231F20"/>
        </w:rPr>
        <w:t xml:space="preserve"> a</w:t>
      </w:r>
      <w:r>
        <w:rPr>
          <w:color w:val="231F20"/>
        </w:rPr>
        <w:t xml:space="preserve"> </w:t>
      </w:r>
      <w:r w:rsidR="006A12DC">
        <w:rPr>
          <w:color w:val="231F20"/>
        </w:rPr>
        <w:t>point</w:t>
      </w:r>
      <w:r>
        <w:rPr>
          <w:color w:val="231F20"/>
        </w:rPr>
        <w:t>. This type of communication tool enhances the level of safety for groomer operators as they can keep in touch with club leaders and other groomers.</w:t>
      </w:r>
    </w:p>
    <w:p w14:paraId="65B1E0BD" w14:textId="74079689" w:rsidR="006A12DC" w:rsidRDefault="006A12DC">
      <w:pPr>
        <w:pStyle w:val="BodyText"/>
        <w:spacing w:line="249" w:lineRule="auto"/>
        <w:ind w:right="121"/>
        <w:rPr>
          <w:color w:val="231F20"/>
        </w:rPr>
      </w:pPr>
    </w:p>
    <w:p w14:paraId="0788F546" w14:textId="77777777" w:rsidR="006A12DC" w:rsidRDefault="006A12DC">
      <w:pPr>
        <w:pStyle w:val="BodyText"/>
        <w:spacing w:line="249" w:lineRule="auto"/>
        <w:ind w:right="121"/>
      </w:pPr>
    </w:p>
    <w:p w14:paraId="128E77BA" w14:textId="77777777" w:rsidR="00C7174E" w:rsidRDefault="00C7174E">
      <w:pPr>
        <w:pStyle w:val="BodyText"/>
        <w:ind w:left="0"/>
        <w:rPr>
          <w:sz w:val="23"/>
        </w:rPr>
      </w:pPr>
    </w:p>
    <w:p w14:paraId="7E93DF80" w14:textId="77777777" w:rsidR="00C7174E" w:rsidRDefault="00566E8A">
      <w:pPr>
        <w:pStyle w:val="Heading1"/>
      </w:pPr>
      <w:r>
        <w:rPr>
          <w:color w:val="231F20"/>
        </w:rPr>
        <w:t>Category: Area of Coverage</w:t>
      </w:r>
    </w:p>
    <w:p w14:paraId="09F235E7" w14:textId="77777777" w:rsidR="00C7174E" w:rsidRDefault="00C7174E">
      <w:pPr>
        <w:pStyle w:val="BodyText"/>
        <w:spacing w:before="10"/>
        <w:ind w:left="0"/>
        <w:rPr>
          <w:b/>
          <w:sz w:val="23"/>
        </w:rPr>
      </w:pPr>
    </w:p>
    <w:p w14:paraId="2C0A90E6" w14:textId="77777777" w:rsidR="00C7174E" w:rsidRDefault="00566E8A">
      <w:pPr>
        <w:pStyle w:val="BodyText"/>
        <w:spacing w:line="249" w:lineRule="auto"/>
        <w:ind w:right="121"/>
      </w:pPr>
      <w:r>
        <w:rPr>
          <w:color w:val="231F20"/>
        </w:rPr>
        <w:t>This category places value on the overall physical distance the application plans on covering. The further the distance, the higher the rating.</w:t>
      </w:r>
    </w:p>
    <w:p w14:paraId="2C6580F4" w14:textId="77777777" w:rsidR="00C7174E" w:rsidRDefault="00C7174E">
      <w:pPr>
        <w:pStyle w:val="BodyText"/>
        <w:ind w:left="0"/>
        <w:rPr>
          <w:sz w:val="23"/>
        </w:rPr>
      </w:pPr>
    </w:p>
    <w:p w14:paraId="4D10C95C" w14:textId="2D1EFC89" w:rsidR="003E07D6" w:rsidRPr="003E07D6" w:rsidRDefault="003E07D6" w:rsidP="003E07D6">
      <w:pPr>
        <w:pStyle w:val="BodyText"/>
        <w:spacing w:line="247" w:lineRule="auto"/>
        <w:ind w:right="7211"/>
      </w:pPr>
      <w:r w:rsidRPr="003E07D6">
        <w:rPr>
          <w:color w:val="231F20"/>
        </w:rPr>
        <w:t xml:space="preserve">Rating: Internet connection Points: </w:t>
      </w:r>
      <w:r w:rsidR="006A12DC">
        <w:rPr>
          <w:color w:val="231F20"/>
        </w:rPr>
        <w:t>3</w:t>
      </w:r>
    </w:p>
    <w:p w14:paraId="1809BB85" w14:textId="533F564C" w:rsidR="003E07D6" w:rsidRDefault="003E07D6" w:rsidP="003E07D6">
      <w:pPr>
        <w:pStyle w:val="BodyText"/>
        <w:spacing w:line="247" w:lineRule="auto"/>
        <w:ind w:right="93"/>
      </w:pPr>
      <w:r w:rsidRPr="003E07D6">
        <w:rPr>
          <w:color w:val="231F20"/>
        </w:rPr>
        <w:t xml:space="preserve">Justification: Any project that can provide an interface between a two way radio system and the Internet should receive </w:t>
      </w:r>
      <w:r w:rsidR="006A12DC">
        <w:rPr>
          <w:color w:val="231F20"/>
        </w:rPr>
        <w:t>points</w:t>
      </w:r>
      <w:r w:rsidRPr="003E07D6">
        <w:rPr>
          <w:color w:val="231F20"/>
        </w:rPr>
        <w:t>. By bridging a radio system with an Internet connection and / or interface, the potential reach of the communication is greatly enhanced. This also makes communication possible between various systems.</w:t>
      </w:r>
    </w:p>
    <w:p w14:paraId="486BA2C6" w14:textId="77777777" w:rsidR="003E07D6" w:rsidRDefault="003E07D6">
      <w:pPr>
        <w:pStyle w:val="BodyText"/>
        <w:spacing w:line="249" w:lineRule="auto"/>
        <w:ind w:right="9155"/>
        <w:rPr>
          <w:color w:val="231F20"/>
        </w:rPr>
      </w:pPr>
    </w:p>
    <w:p w14:paraId="64506E61" w14:textId="38E28FAF" w:rsidR="00C7174E" w:rsidRDefault="00566E8A">
      <w:pPr>
        <w:pStyle w:val="BodyText"/>
        <w:spacing w:line="249" w:lineRule="auto"/>
        <w:ind w:right="9155"/>
      </w:pPr>
      <w:r>
        <w:rPr>
          <w:color w:val="231F20"/>
        </w:rPr>
        <w:t xml:space="preserve">Rating: Statewide Points: </w:t>
      </w:r>
      <w:r w:rsidR="006A12DC">
        <w:rPr>
          <w:color w:val="231F20"/>
        </w:rPr>
        <w:t>2</w:t>
      </w:r>
    </w:p>
    <w:p w14:paraId="7CA76104" w14:textId="04748805" w:rsidR="00C7174E" w:rsidRDefault="00566E8A">
      <w:pPr>
        <w:pStyle w:val="BodyText"/>
        <w:spacing w:line="249" w:lineRule="auto"/>
        <w:ind w:right="112"/>
        <w:jc w:val="both"/>
      </w:pPr>
      <w:r>
        <w:rPr>
          <w:color w:val="231F20"/>
        </w:rPr>
        <w:t>Justification: Any project that can provide statewide coverage of a two way radio communication system</w:t>
      </w:r>
      <w:r>
        <w:rPr>
          <w:color w:val="231F20"/>
          <w:spacing w:val="-37"/>
        </w:rPr>
        <w:t xml:space="preserve"> </w:t>
      </w:r>
      <w:r>
        <w:rPr>
          <w:color w:val="231F20"/>
        </w:rPr>
        <w:t xml:space="preserve">should receive </w:t>
      </w:r>
      <w:r w:rsidR="006A12DC">
        <w:rPr>
          <w:color w:val="231F20"/>
        </w:rPr>
        <w:t>points</w:t>
      </w:r>
      <w:r>
        <w:rPr>
          <w:color w:val="231F20"/>
        </w:rPr>
        <w:t>. This type of coverage greatly increases the effectiveness of a communication system. Projects that can interface with WISCOM or another statewide system would qualify for this</w:t>
      </w:r>
      <w:r>
        <w:rPr>
          <w:color w:val="231F20"/>
          <w:spacing w:val="-34"/>
        </w:rPr>
        <w:t xml:space="preserve"> </w:t>
      </w:r>
      <w:r>
        <w:rPr>
          <w:color w:val="231F20"/>
        </w:rPr>
        <w:t>rating.</w:t>
      </w:r>
    </w:p>
    <w:p w14:paraId="3C41D83B" w14:textId="77777777" w:rsidR="00F32732" w:rsidRDefault="00F32732">
      <w:pPr>
        <w:pStyle w:val="BodyText"/>
        <w:spacing w:before="74" w:line="249" w:lineRule="auto"/>
        <w:ind w:right="8891"/>
        <w:rPr>
          <w:color w:val="231F20"/>
        </w:rPr>
      </w:pPr>
    </w:p>
    <w:p w14:paraId="451119FD" w14:textId="6495B6AB" w:rsidR="00C7174E" w:rsidRDefault="00566E8A">
      <w:pPr>
        <w:pStyle w:val="BodyText"/>
        <w:spacing w:before="74" w:line="249" w:lineRule="auto"/>
        <w:ind w:right="8891"/>
      </w:pPr>
      <w:r>
        <w:rPr>
          <w:color w:val="231F20"/>
        </w:rPr>
        <w:lastRenderedPageBreak/>
        <w:t xml:space="preserve">Rating: County wide Points: </w:t>
      </w:r>
      <w:r w:rsidR="006A12DC">
        <w:rPr>
          <w:color w:val="231F20"/>
        </w:rPr>
        <w:t>1</w:t>
      </w:r>
    </w:p>
    <w:p w14:paraId="3C1ECE7C" w14:textId="7C359B3A" w:rsidR="00C7174E" w:rsidRDefault="00566E8A">
      <w:pPr>
        <w:pStyle w:val="BodyText"/>
        <w:spacing w:before="1" w:line="249" w:lineRule="auto"/>
        <w:ind w:right="441"/>
      </w:pPr>
      <w:r>
        <w:rPr>
          <w:color w:val="231F20"/>
        </w:rPr>
        <w:t xml:space="preserve">Justification: Any project that can cover an entire county with a two way voice communication system should receive </w:t>
      </w:r>
      <w:r w:rsidR="006A12DC">
        <w:rPr>
          <w:color w:val="231F20"/>
        </w:rPr>
        <w:t>a point</w:t>
      </w:r>
      <w:r>
        <w:rPr>
          <w:color w:val="231F20"/>
        </w:rPr>
        <w:t>. A county wide, two way radio communication system enhances communication between law enforcement, land managers and volunteers within that county. This allows for quick communication and relaying of important trail related messages.</w:t>
      </w:r>
    </w:p>
    <w:p w14:paraId="04E44125" w14:textId="77777777" w:rsidR="00C7174E" w:rsidRDefault="00C7174E">
      <w:pPr>
        <w:pStyle w:val="BodyText"/>
        <w:ind w:left="0"/>
        <w:rPr>
          <w:sz w:val="23"/>
        </w:rPr>
      </w:pPr>
    </w:p>
    <w:p w14:paraId="43A3D09A" w14:textId="7B810DB7" w:rsidR="00C7174E" w:rsidRDefault="00566E8A">
      <w:pPr>
        <w:pStyle w:val="BodyText"/>
        <w:spacing w:line="249" w:lineRule="auto"/>
        <w:ind w:right="9575"/>
      </w:pPr>
      <w:r>
        <w:rPr>
          <w:color w:val="231F20"/>
        </w:rPr>
        <w:t xml:space="preserve">Rating: Local Points: </w:t>
      </w:r>
      <w:r w:rsidR="006A12DC">
        <w:rPr>
          <w:color w:val="231F20"/>
        </w:rPr>
        <w:t>0</w:t>
      </w:r>
    </w:p>
    <w:p w14:paraId="7E868B91" w14:textId="36484AA3" w:rsidR="00C7174E" w:rsidRDefault="00566E8A">
      <w:pPr>
        <w:pStyle w:val="BodyText"/>
        <w:spacing w:before="1" w:line="249" w:lineRule="auto"/>
        <w:ind w:right="373"/>
        <w:jc w:val="both"/>
      </w:pPr>
      <w:r>
        <w:rPr>
          <w:color w:val="231F20"/>
        </w:rPr>
        <w:t>Justification:</w:t>
      </w:r>
      <w:r>
        <w:rPr>
          <w:color w:val="231F20"/>
          <w:spacing w:val="-15"/>
        </w:rPr>
        <w:t xml:space="preserve"> </w:t>
      </w:r>
      <w:r>
        <w:rPr>
          <w:color w:val="231F20"/>
        </w:rPr>
        <w:t>Any</w:t>
      </w:r>
      <w:r>
        <w:rPr>
          <w:color w:val="231F20"/>
          <w:spacing w:val="-2"/>
        </w:rPr>
        <w:t xml:space="preserve"> </w:t>
      </w:r>
      <w:r>
        <w:rPr>
          <w:color w:val="231F20"/>
        </w:rPr>
        <w:t>project</w:t>
      </w:r>
      <w:r>
        <w:rPr>
          <w:color w:val="231F20"/>
          <w:spacing w:val="-3"/>
        </w:rPr>
        <w:t xml:space="preserve"> </w:t>
      </w:r>
      <w:r>
        <w:rPr>
          <w:color w:val="231F20"/>
        </w:rPr>
        <w:t>that</w:t>
      </w:r>
      <w:r>
        <w:rPr>
          <w:color w:val="231F20"/>
          <w:spacing w:val="-2"/>
        </w:rPr>
        <w:t xml:space="preserve"> </w:t>
      </w:r>
      <w:r>
        <w:rPr>
          <w:color w:val="231F20"/>
        </w:rPr>
        <w:t>can</w:t>
      </w:r>
      <w:r>
        <w:rPr>
          <w:color w:val="231F20"/>
          <w:spacing w:val="-2"/>
        </w:rPr>
        <w:t xml:space="preserve"> </w:t>
      </w:r>
      <w:r>
        <w:rPr>
          <w:color w:val="231F20"/>
        </w:rPr>
        <w:t>only</w:t>
      </w:r>
      <w:r>
        <w:rPr>
          <w:color w:val="231F20"/>
          <w:spacing w:val="-3"/>
        </w:rPr>
        <w:t xml:space="preserve"> </w:t>
      </w:r>
      <w:r>
        <w:rPr>
          <w:color w:val="231F20"/>
        </w:rPr>
        <w:t>cover</w:t>
      </w:r>
      <w:r>
        <w:rPr>
          <w:color w:val="231F20"/>
          <w:spacing w:val="-2"/>
        </w:rPr>
        <w:t xml:space="preserve"> </w:t>
      </w:r>
      <w:r>
        <w:rPr>
          <w:color w:val="231F20"/>
        </w:rPr>
        <w:t>a</w:t>
      </w:r>
      <w:r>
        <w:rPr>
          <w:color w:val="231F20"/>
          <w:spacing w:val="-3"/>
        </w:rPr>
        <w:t xml:space="preserve"> </w:t>
      </w:r>
      <w:r>
        <w:rPr>
          <w:color w:val="231F20"/>
        </w:rPr>
        <w:t>short</w:t>
      </w:r>
      <w:r>
        <w:rPr>
          <w:color w:val="231F20"/>
          <w:spacing w:val="-2"/>
        </w:rPr>
        <w:t xml:space="preserve"> </w:t>
      </w:r>
      <w:r>
        <w:rPr>
          <w:color w:val="231F20"/>
        </w:rPr>
        <w:t>distance</w:t>
      </w:r>
      <w:r>
        <w:rPr>
          <w:color w:val="231F20"/>
          <w:spacing w:val="-3"/>
        </w:rPr>
        <w:t xml:space="preserve"> </w:t>
      </w:r>
      <w:r>
        <w:rPr>
          <w:color w:val="231F20"/>
        </w:rPr>
        <w:t>intended</w:t>
      </w:r>
      <w:r>
        <w:rPr>
          <w:color w:val="231F20"/>
          <w:spacing w:val="-3"/>
        </w:rPr>
        <w:t xml:space="preserve"> </w:t>
      </w:r>
      <w:r>
        <w:rPr>
          <w:color w:val="231F20"/>
        </w:rPr>
        <w:t>for</w:t>
      </w:r>
      <w:r>
        <w:rPr>
          <w:color w:val="231F20"/>
          <w:spacing w:val="-2"/>
        </w:rPr>
        <w:t xml:space="preserve"> </w:t>
      </w:r>
      <w:r>
        <w:rPr>
          <w:color w:val="231F20"/>
        </w:rPr>
        <w:t>club</w:t>
      </w:r>
      <w:r>
        <w:rPr>
          <w:color w:val="231F20"/>
          <w:spacing w:val="-2"/>
        </w:rPr>
        <w:t xml:space="preserve"> </w:t>
      </w:r>
      <w:r>
        <w:rPr>
          <w:color w:val="231F20"/>
        </w:rPr>
        <w:t>use</w:t>
      </w:r>
      <w:r>
        <w:rPr>
          <w:color w:val="231F20"/>
          <w:spacing w:val="-3"/>
        </w:rPr>
        <w:t xml:space="preserve"> </w:t>
      </w:r>
      <w:r w:rsidR="006A12DC">
        <w:rPr>
          <w:color w:val="231F20"/>
        </w:rPr>
        <w:t>will not receive points</w:t>
      </w:r>
      <w:r>
        <w:rPr>
          <w:color w:val="231F20"/>
        </w:rPr>
        <w:t>. Local two way communication can provide a limited, short range communication link between club members, law enforcement officers or land</w:t>
      </w:r>
      <w:r>
        <w:rPr>
          <w:color w:val="231F20"/>
          <w:spacing w:val="-41"/>
        </w:rPr>
        <w:t xml:space="preserve"> </w:t>
      </w:r>
      <w:r>
        <w:rPr>
          <w:color w:val="231F20"/>
        </w:rPr>
        <w:t>managers.</w:t>
      </w:r>
    </w:p>
    <w:p w14:paraId="0AA541E6" w14:textId="0E145572" w:rsidR="00C7174E" w:rsidRDefault="00C7174E">
      <w:pPr>
        <w:pStyle w:val="BodyText"/>
        <w:ind w:left="0"/>
        <w:rPr>
          <w:sz w:val="23"/>
        </w:rPr>
      </w:pPr>
    </w:p>
    <w:p w14:paraId="3D1EB79A" w14:textId="77777777" w:rsidR="006A12DC" w:rsidRDefault="006A12DC">
      <w:pPr>
        <w:pStyle w:val="BodyText"/>
        <w:ind w:left="0"/>
        <w:rPr>
          <w:sz w:val="23"/>
        </w:rPr>
      </w:pPr>
    </w:p>
    <w:p w14:paraId="00DDD0BA" w14:textId="77777777" w:rsidR="00C7174E" w:rsidRDefault="00566E8A">
      <w:pPr>
        <w:pStyle w:val="Heading1"/>
        <w:spacing w:before="1"/>
      </w:pPr>
      <w:r>
        <w:rPr>
          <w:color w:val="231F20"/>
        </w:rPr>
        <w:t>Category: Type of Equipment</w:t>
      </w:r>
    </w:p>
    <w:p w14:paraId="589D1D93" w14:textId="77777777" w:rsidR="00C7174E" w:rsidRDefault="00C7174E">
      <w:pPr>
        <w:pStyle w:val="BodyText"/>
        <w:spacing w:before="10"/>
        <w:ind w:left="0"/>
        <w:rPr>
          <w:b/>
          <w:sz w:val="23"/>
        </w:rPr>
      </w:pPr>
    </w:p>
    <w:p w14:paraId="1E847E7A" w14:textId="7FC6F6E1" w:rsidR="00C7174E" w:rsidRDefault="00566E8A">
      <w:pPr>
        <w:pStyle w:val="BodyText"/>
        <w:spacing w:line="249" w:lineRule="auto"/>
        <w:ind w:right="9196"/>
      </w:pPr>
      <w:r>
        <w:rPr>
          <w:color w:val="231F20"/>
        </w:rPr>
        <w:t xml:space="preserve">Rating: Repeater Points: </w:t>
      </w:r>
      <w:r w:rsidR="006A12DC">
        <w:rPr>
          <w:color w:val="231F20"/>
        </w:rPr>
        <w:t>3</w:t>
      </w:r>
    </w:p>
    <w:p w14:paraId="5BF4C6BD" w14:textId="6FAAE7E8" w:rsidR="00C7174E" w:rsidRDefault="00566E8A">
      <w:pPr>
        <w:pStyle w:val="BodyText"/>
        <w:spacing w:line="249" w:lineRule="auto"/>
        <w:ind w:right="213"/>
      </w:pPr>
      <w:r>
        <w:rPr>
          <w:color w:val="231F20"/>
        </w:rPr>
        <w:t xml:space="preserve">Justification: Any project that includes a radio repeater should receive </w:t>
      </w:r>
      <w:r w:rsidR="006A12DC">
        <w:rPr>
          <w:color w:val="231F20"/>
        </w:rPr>
        <w:t>points</w:t>
      </w:r>
      <w:r>
        <w:rPr>
          <w:color w:val="231F20"/>
        </w:rPr>
        <w:t>. Repeaters can link many smaller radios together to form a wide area coverage of a two way radio communication system. Generally, repeaters are expensive and require annual maintenance, however provide a wide area of</w:t>
      </w:r>
    </w:p>
    <w:p w14:paraId="5879383F" w14:textId="77777777" w:rsidR="00C7174E" w:rsidRDefault="00566E8A">
      <w:pPr>
        <w:pStyle w:val="BodyText"/>
        <w:spacing w:line="249" w:lineRule="auto"/>
        <w:ind w:right="85"/>
      </w:pPr>
      <w:r>
        <w:rPr>
          <w:color w:val="231F20"/>
        </w:rPr>
        <w:t>coverage. Repeaters can also be interconnected via a direct line of sight connection or Internet connection to a repeater network.</w:t>
      </w:r>
    </w:p>
    <w:p w14:paraId="3D6F9ED4" w14:textId="77777777" w:rsidR="00C7174E" w:rsidRDefault="00C7174E">
      <w:pPr>
        <w:pStyle w:val="BodyText"/>
        <w:ind w:left="0"/>
        <w:rPr>
          <w:sz w:val="23"/>
        </w:rPr>
      </w:pPr>
    </w:p>
    <w:p w14:paraId="7E2D11F7" w14:textId="2831B271" w:rsidR="00C7174E" w:rsidRDefault="00566E8A">
      <w:pPr>
        <w:pStyle w:val="BodyText"/>
        <w:spacing w:line="249" w:lineRule="auto"/>
        <w:ind w:right="8561"/>
      </w:pPr>
      <w:r>
        <w:rPr>
          <w:color w:val="231F20"/>
        </w:rPr>
        <w:t xml:space="preserve">Rating: Mobile (vehicle) Points: </w:t>
      </w:r>
      <w:r w:rsidR="006A12DC">
        <w:rPr>
          <w:color w:val="231F20"/>
        </w:rPr>
        <w:t>2</w:t>
      </w:r>
    </w:p>
    <w:p w14:paraId="2217209A" w14:textId="1384E415" w:rsidR="00C7174E" w:rsidRDefault="00566E8A">
      <w:pPr>
        <w:pStyle w:val="BodyText"/>
        <w:spacing w:before="1" w:line="249" w:lineRule="auto"/>
        <w:ind w:right="183"/>
      </w:pPr>
      <w:r>
        <w:rPr>
          <w:color w:val="231F20"/>
        </w:rPr>
        <w:t>Justification: Any project that includes mobile radios should receive</w:t>
      </w:r>
      <w:r w:rsidR="006A12DC">
        <w:rPr>
          <w:color w:val="231F20"/>
        </w:rPr>
        <w:t xml:space="preserve"> points</w:t>
      </w:r>
      <w:r>
        <w:rPr>
          <w:color w:val="231F20"/>
        </w:rPr>
        <w:t>. Mobile radios can be installed in vehicles / groomers and can offer a wider area of coverage due to additional power outputs available.</w:t>
      </w:r>
    </w:p>
    <w:p w14:paraId="6C4A6EC3" w14:textId="77777777" w:rsidR="00C7174E" w:rsidRDefault="00C7174E">
      <w:pPr>
        <w:pStyle w:val="BodyText"/>
        <w:ind w:left="0"/>
        <w:rPr>
          <w:sz w:val="23"/>
        </w:rPr>
      </w:pPr>
    </w:p>
    <w:p w14:paraId="7E881F3B" w14:textId="6B6AA5AA" w:rsidR="00C7174E" w:rsidRDefault="00566E8A">
      <w:pPr>
        <w:pStyle w:val="BodyText"/>
        <w:spacing w:line="249" w:lineRule="auto"/>
        <w:ind w:right="9159"/>
      </w:pPr>
      <w:r>
        <w:rPr>
          <w:color w:val="231F20"/>
        </w:rPr>
        <w:t xml:space="preserve">Rating: Handheld Points: </w:t>
      </w:r>
      <w:r w:rsidR="006A12DC">
        <w:rPr>
          <w:color w:val="231F20"/>
        </w:rPr>
        <w:t>1</w:t>
      </w:r>
    </w:p>
    <w:p w14:paraId="472305F5" w14:textId="353798A6" w:rsidR="00C7174E" w:rsidRDefault="00566E8A">
      <w:pPr>
        <w:pStyle w:val="BodyText"/>
        <w:spacing w:line="249" w:lineRule="auto"/>
        <w:ind w:right="99"/>
      </w:pPr>
      <w:r>
        <w:rPr>
          <w:color w:val="231F20"/>
        </w:rPr>
        <w:t xml:space="preserve">Justification: Any project that includes handheld radios should receive a </w:t>
      </w:r>
      <w:r w:rsidR="006A12DC">
        <w:rPr>
          <w:color w:val="231F20"/>
        </w:rPr>
        <w:t>point</w:t>
      </w:r>
      <w:r>
        <w:rPr>
          <w:color w:val="231F20"/>
        </w:rPr>
        <w:t>. Handheld radios can provide short range two way communication between two or more club members, land managers or law enforcement officers. Some handheld radios may communicate with repeaters.</w:t>
      </w:r>
    </w:p>
    <w:p w14:paraId="25A854A8" w14:textId="77777777" w:rsidR="00C7174E" w:rsidRDefault="00C7174E">
      <w:pPr>
        <w:pStyle w:val="BodyText"/>
        <w:ind w:left="0"/>
        <w:rPr>
          <w:sz w:val="23"/>
        </w:rPr>
      </w:pPr>
    </w:p>
    <w:p w14:paraId="45C483E7" w14:textId="77777777" w:rsidR="00C7174E" w:rsidRDefault="00566E8A">
      <w:pPr>
        <w:pStyle w:val="Heading1"/>
      </w:pPr>
      <w:r>
        <w:rPr>
          <w:color w:val="231F20"/>
        </w:rPr>
        <w:t>Category: Other Funding Sources</w:t>
      </w:r>
    </w:p>
    <w:p w14:paraId="1F050AB7" w14:textId="77777777" w:rsidR="00C7174E" w:rsidRDefault="00C7174E">
      <w:pPr>
        <w:pStyle w:val="BodyText"/>
        <w:spacing w:before="10"/>
        <w:ind w:left="0"/>
        <w:rPr>
          <w:b/>
          <w:sz w:val="23"/>
        </w:rPr>
      </w:pPr>
    </w:p>
    <w:p w14:paraId="6B98BF59" w14:textId="77777777" w:rsidR="006A12DC" w:rsidRDefault="006A12DC" w:rsidP="006A12DC">
      <w:pPr>
        <w:pStyle w:val="BodyText"/>
        <w:spacing w:before="1" w:line="249" w:lineRule="auto"/>
        <w:ind w:right="8666"/>
      </w:pPr>
      <w:r>
        <w:rPr>
          <w:color w:val="231F20"/>
        </w:rPr>
        <w:t>Rating: 51% or greater Points: 2</w:t>
      </w:r>
    </w:p>
    <w:p w14:paraId="5DF19FAF" w14:textId="77777777" w:rsidR="006A12DC" w:rsidRDefault="006A12DC" w:rsidP="006A12DC">
      <w:pPr>
        <w:pStyle w:val="BodyText"/>
        <w:spacing w:before="1"/>
      </w:pPr>
      <w:r>
        <w:rPr>
          <w:color w:val="231F20"/>
        </w:rPr>
        <w:t>Justification: Any project that includes a funding source or funding sources that when combined equal 51%</w:t>
      </w:r>
    </w:p>
    <w:p w14:paraId="1987DB36" w14:textId="77777777" w:rsidR="006A12DC" w:rsidRDefault="006A12DC" w:rsidP="006A12DC">
      <w:pPr>
        <w:pStyle w:val="BodyText"/>
        <w:spacing w:before="11" w:line="249" w:lineRule="auto"/>
        <w:ind w:right="217"/>
      </w:pPr>
      <w:r>
        <w:rPr>
          <w:color w:val="231F20"/>
        </w:rPr>
        <w:t>or more of the total grant request should receive points. Additional funding sources shows commitment towards completing the project. Greater than 51% shows a high level of commitment towards the project.</w:t>
      </w:r>
    </w:p>
    <w:p w14:paraId="0BF169E8" w14:textId="77777777" w:rsidR="006A12DC" w:rsidRDefault="006A12DC" w:rsidP="006A12DC">
      <w:pPr>
        <w:pStyle w:val="BodyText"/>
        <w:rPr>
          <w:sz w:val="23"/>
        </w:rPr>
      </w:pPr>
    </w:p>
    <w:p w14:paraId="4778A11A" w14:textId="77777777" w:rsidR="006A12DC" w:rsidRDefault="006A12DC" w:rsidP="006A12DC">
      <w:pPr>
        <w:pStyle w:val="BodyText"/>
        <w:spacing w:before="1"/>
      </w:pPr>
      <w:r>
        <w:rPr>
          <w:color w:val="231F20"/>
        </w:rPr>
        <w:t>Rating: 25% to 50%</w:t>
      </w:r>
    </w:p>
    <w:p w14:paraId="79C948A5" w14:textId="77777777" w:rsidR="006A12DC" w:rsidRDefault="006A12DC" w:rsidP="006A12DC">
      <w:pPr>
        <w:pStyle w:val="BodyText"/>
        <w:spacing w:before="11"/>
      </w:pPr>
      <w:r>
        <w:rPr>
          <w:color w:val="231F20"/>
        </w:rPr>
        <w:t>Points: 1</w:t>
      </w:r>
    </w:p>
    <w:p w14:paraId="39F4D8DA" w14:textId="77777777" w:rsidR="006A12DC" w:rsidRDefault="006A12DC" w:rsidP="006A12DC">
      <w:pPr>
        <w:pStyle w:val="BodyText"/>
        <w:spacing w:before="11" w:line="249" w:lineRule="auto"/>
        <w:ind w:right="501"/>
        <w:jc w:val="both"/>
      </w:pPr>
      <w:r>
        <w:rPr>
          <w:color w:val="231F20"/>
        </w:rPr>
        <w:t>Justification: Any project that includes a funding source or funding sources that when combined equal 26% to 50% of the total grant request should receive a point. Additional funding sources</w:t>
      </w:r>
      <w:r>
        <w:rPr>
          <w:color w:val="231F20"/>
          <w:spacing w:val="-43"/>
        </w:rPr>
        <w:t xml:space="preserve"> </w:t>
      </w:r>
      <w:r>
        <w:rPr>
          <w:color w:val="231F20"/>
        </w:rPr>
        <w:t>shows commitment towards completing the</w:t>
      </w:r>
      <w:r>
        <w:rPr>
          <w:color w:val="231F20"/>
          <w:spacing w:val="-8"/>
        </w:rPr>
        <w:t xml:space="preserve"> </w:t>
      </w:r>
      <w:r>
        <w:rPr>
          <w:color w:val="231F20"/>
        </w:rPr>
        <w:t>project.</w:t>
      </w:r>
    </w:p>
    <w:p w14:paraId="0130073B" w14:textId="77777777" w:rsidR="006A12DC" w:rsidRDefault="006A12DC" w:rsidP="006A12DC">
      <w:pPr>
        <w:pStyle w:val="BodyText"/>
        <w:spacing w:before="11"/>
        <w:ind w:left="0"/>
      </w:pPr>
      <w:bookmarkStart w:id="2" w:name="_Hlk59444089"/>
    </w:p>
    <w:p w14:paraId="2A92025B" w14:textId="77777777" w:rsidR="006A12DC" w:rsidRDefault="006A12DC" w:rsidP="006A12DC">
      <w:pPr>
        <w:pStyle w:val="BodyText"/>
        <w:spacing w:before="11"/>
      </w:pPr>
      <w:r>
        <w:t>Rating Less than 25%</w:t>
      </w:r>
    </w:p>
    <w:p w14:paraId="3E711F12" w14:textId="77777777" w:rsidR="006A12DC" w:rsidRDefault="006A12DC" w:rsidP="006A12DC">
      <w:pPr>
        <w:pStyle w:val="BodyText"/>
        <w:spacing w:before="11"/>
      </w:pPr>
      <w:r>
        <w:t>Points: 0</w:t>
      </w:r>
    </w:p>
    <w:p w14:paraId="14C1DBDB" w14:textId="77777777" w:rsidR="006A12DC" w:rsidRDefault="006A12DC" w:rsidP="006A12DC">
      <w:pPr>
        <w:pStyle w:val="BodyText"/>
        <w:spacing w:before="11"/>
      </w:pPr>
      <w:r>
        <w:t>Justification:  Any project that includes little to no outside funding assistance will receive 0 points on this scoring guide.</w:t>
      </w:r>
      <w:bookmarkEnd w:id="2"/>
    </w:p>
    <w:p w14:paraId="7FEB5B81" w14:textId="77777777" w:rsidR="00C7174E" w:rsidRDefault="00C7174E" w:rsidP="006A12DC">
      <w:pPr>
        <w:pStyle w:val="BodyText"/>
        <w:spacing w:line="249" w:lineRule="auto"/>
        <w:ind w:right="8646"/>
      </w:pPr>
    </w:p>
    <w:sectPr w:rsidR="00C7174E">
      <w:pgSz w:w="12240" w:h="15840"/>
      <w:pgMar w:top="600" w:right="64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E62A3A"/>
    <w:multiLevelType w:val="hybridMultilevel"/>
    <w:tmpl w:val="5C4C6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600E0C"/>
    <w:multiLevelType w:val="hybridMultilevel"/>
    <w:tmpl w:val="25080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2A27CC"/>
    <w:multiLevelType w:val="hybridMultilevel"/>
    <w:tmpl w:val="FF4E1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74E"/>
    <w:rsid w:val="0000640A"/>
    <w:rsid w:val="00392BB3"/>
    <w:rsid w:val="003E07D6"/>
    <w:rsid w:val="00566E8A"/>
    <w:rsid w:val="006A12DC"/>
    <w:rsid w:val="006A7A33"/>
    <w:rsid w:val="0074042E"/>
    <w:rsid w:val="008B5B03"/>
    <w:rsid w:val="00B9373B"/>
    <w:rsid w:val="00BA2A39"/>
    <w:rsid w:val="00C63480"/>
    <w:rsid w:val="00C7174E"/>
    <w:rsid w:val="00CF3437"/>
    <w:rsid w:val="00F32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C1DBE"/>
  <w15:docId w15:val="{C396880B-00E8-4899-AAC7-64DE4551C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rsid w:val="008B5B03"/>
    <w:rPr>
      <w:color w:val="0000FF" w:themeColor="hyperlink"/>
      <w:u w:val="single"/>
    </w:rPr>
  </w:style>
  <w:style w:type="table" w:styleId="TableGrid">
    <w:name w:val="Table Grid"/>
    <w:basedOn w:val="TableNormal"/>
    <w:uiPriority w:val="39"/>
    <w:rsid w:val="008B5B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5B03"/>
    <w:pPr>
      <w:widowControl/>
      <w:adjustRightInd w:val="0"/>
    </w:pPr>
    <w:rPr>
      <w:rFonts w:ascii="Arial" w:hAnsi="Arial" w:cs="Arial"/>
      <w:color w:val="000000"/>
      <w:sz w:val="24"/>
      <w:szCs w:val="24"/>
    </w:rPr>
  </w:style>
  <w:style w:type="paragraph" w:customStyle="1" w:styleId="Pa0">
    <w:name w:val="Pa0"/>
    <w:basedOn w:val="Default"/>
    <w:next w:val="Default"/>
    <w:uiPriority w:val="99"/>
    <w:rsid w:val="008B5B03"/>
    <w:pPr>
      <w:spacing w:line="241" w:lineRule="atLeast"/>
    </w:pPr>
    <w:rPr>
      <w:color w:val="auto"/>
    </w:rPr>
  </w:style>
  <w:style w:type="character" w:customStyle="1" w:styleId="A0">
    <w:name w:val="A0"/>
    <w:uiPriority w:val="99"/>
    <w:rsid w:val="008B5B03"/>
    <w:rPr>
      <w:color w:val="211D1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0608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nr.wisconsin.gov/aid/atvEnhancemen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1174</Words>
  <Characters>6697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Leja-Brennan, Kathryn</dc:creator>
  <cp:lastModifiedBy>Kate Leja-Brennan</cp:lastModifiedBy>
  <cp:revision>2</cp:revision>
  <dcterms:created xsi:type="dcterms:W3CDTF">2022-03-22T15:53:00Z</dcterms:created>
  <dcterms:modified xsi:type="dcterms:W3CDTF">2022-03-22T15:53:00Z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2020-07-13T00:00:00Z</vt:filetime>
  </property>
  <property fmtid="{D5CDD505-2E9C-101B-9397-08002B2CF9AE}" pid="3" name="Creator">
    <vt:lpwstr>Adobe InDesign CC 14.0 (Windows)</vt:lpwstr>
  </property>
  <property fmtid="{D5CDD505-2E9C-101B-9397-08002B2CF9AE}" pid="4" name="LastSaved">
    <vt:filetime>2020-12-15T00:00:00Z</vt:filetime>
  </property>
</Properties>
</file>